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b/>
          <w:sz w:val="28"/>
          <w:szCs w:val="28"/>
        </w:rPr>
      </w:pPr>
      <w:r>
        <w:rPr>
          <w:b/>
          <w:sz w:val="28"/>
          <w:szCs w:val="28"/>
        </w:rPr>
        <w:t>Wymagania techniczne dla systemu monitoringu</w:t>
      </w:r>
    </w:p>
    <w:p>
      <w:pPr>
        <w:pStyle w:val="Normal"/>
        <w:widowControl w:val="false"/>
        <w:jc w:val="center"/>
        <w:rPr>
          <w:b/>
          <w:sz w:val="28"/>
          <w:szCs w:val="28"/>
        </w:rPr>
      </w:pPr>
      <w:r>
        <w:rPr>
          <w:b/>
          <w:sz w:val="28"/>
          <w:szCs w:val="28"/>
        </w:rPr>
      </w:r>
    </w:p>
    <w:tbl>
      <w:tblPr>
        <w:tblW w:w="14600" w:type="dxa"/>
        <w:jc w:val="left"/>
        <w:tblInd w:w="-85" w:type="dxa"/>
        <w:tblLayout w:type="fixed"/>
        <w:tblCellMar>
          <w:top w:w="0" w:type="dxa"/>
          <w:left w:w="70" w:type="dxa"/>
          <w:bottom w:w="0" w:type="dxa"/>
          <w:right w:w="70" w:type="dxa"/>
        </w:tblCellMar>
        <w:tblLook w:firstRow="0" w:noVBand="0" w:lastRow="0" w:firstColumn="0" w:lastColumn="0" w:noHBand="0" w:val="0000"/>
      </w:tblPr>
      <w:tblGrid>
        <w:gridCol w:w="1829"/>
        <w:gridCol w:w="6519"/>
        <w:gridCol w:w="6252"/>
      </w:tblGrid>
      <w:tr>
        <w:trPr>
          <w:trHeight w:val="480" w:hRule="atLeast"/>
        </w:trPr>
        <w:tc>
          <w:tcPr>
            <w:tcW w:w="182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pPr>
            <w:r>
              <w:rPr>
                <w:b/>
              </w:rPr>
              <w:t>Kryterium</w:t>
            </w:r>
          </w:p>
        </w:tc>
        <w:tc>
          <w:tcPr>
            <w:tcW w:w="651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pPr>
            <w:r>
              <w:rPr>
                <w:b/>
                <w:sz w:val="28"/>
              </w:rPr>
              <w:t>Opis parametrów wymaganych</w:t>
              <w:br/>
              <w:t xml:space="preserve"> przez Zamawiającego</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sz w:val="28"/>
              </w:rPr>
              <w:t xml:space="preserve">Opis spełnienia wymagań z podaniem typów </w:t>
              <w:br/>
              <w:t>i parametrów zaoferowanych podzespołów</w:t>
            </w:r>
          </w:p>
        </w:tc>
      </w:tr>
      <w:tr>
        <w:trPr>
          <w:trHeight w:val="5662" w:hRule="atLeast"/>
        </w:trPr>
        <w:tc>
          <w:tcPr>
            <w:tcW w:w="1829"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1.</w:t>
            </w:r>
          </w:p>
          <w:p>
            <w:pPr>
              <w:pStyle w:val="Heading2"/>
              <w:widowControl w:val="false"/>
              <w:numPr>
                <w:ilvl w:val="1"/>
                <w:numId w:val="1"/>
              </w:numPr>
              <w:rPr/>
            </w:pPr>
            <w:r>
              <w:rPr>
                <w:bCs/>
                <w:szCs w:val="24"/>
              </w:rPr>
              <w:t>Rejestrator</w:t>
            </w:r>
          </w:p>
        </w:tc>
        <w:tc>
          <w:tcPr>
            <w:tcW w:w="6519"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3"/>
              </w:numPr>
              <w:tabs>
                <w:tab w:val="clear" w:pos="709"/>
              </w:tabs>
              <w:ind w:hanging="251" w:left="313"/>
              <w:jc w:val="both"/>
              <w:rPr>
                <w:color w:val="auto"/>
              </w:rPr>
            </w:pPr>
            <w:r>
              <w:rPr>
                <w:color w:val="auto"/>
                <w:sz w:val="20"/>
              </w:rPr>
              <w:t>Kompresja obrazu - MPEG 4, H.264.</w:t>
            </w:r>
          </w:p>
          <w:p>
            <w:pPr>
              <w:pStyle w:val="Normal"/>
              <w:widowControl w:val="false"/>
              <w:numPr>
                <w:ilvl w:val="0"/>
                <w:numId w:val="3"/>
              </w:numPr>
              <w:tabs>
                <w:tab w:val="clear" w:pos="709"/>
              </w:tabs>
              <w:ind w:hanging="251" w:left="313"/>
              <w:jc w:val="both"/>
              <w:rPr>
                <w:color w:val="auto"/>
              </w:rPr>
            </w:pPr>
            <w:r>
              <w:rPr>
                <w:color w:val="auto"/>
                <w:sz w:val="20"/>
              </w:rPr>
              <w:t>Rejestracja audio – min. 1 kanał synchronicznie z obrazem.</w:t>
            </w:r>
          </w:p>
          <w:p>
            <w:pPr>
              <w:pStyle w:val="Normal"/>
              <w:widowControl w:val="false"/>
              <w:numPr>
                <w:ilvl w:val="0"/>
                <w:numId w:val="3"/>
              </w:numPr>
              <w:tabs>
                <w:tab w:val="clear" w:pos="709"/>
              </w:tabs>
              <w:ind w:hanging="251" w:left="313"/>
              <w:jc w:val="both"/>
              <w:rPr>
                <w:color w:val="auto"/>
              </w:rPr>
            </w:pPr>
            <w:r>
              <w:rPr>
                <w:color w:val="auto"/>
                <w:sz w:val="20"/>
              </w:rPr>
              <w:t xml:space="preserve">Rejestracja kanałów video – 4 kamery megapixelowe (IP) monitorujące wnętrze, zamontowane w przestrzeni nadokiennej +1 kamera megapixelowa (IP) obserwująca pole przed autobusem +1 kamera megapixelowa (IP) tylna + </w:t>
            </w:r>
            <w:r>
              <w:rPr>
                <w:color w:val="auto"/>
                <w:sz w:val="20"/>
              </w:rPr>
              <w:t>2 kamery zewnętrzne megapixelowe (IP) obserwujące: 1 kamera - drzwi II, 2 kamera - drzwi III i IV.</w:t>
            </w:r>
          </w:p>
          <w:p>
            <w:pPr>
              <w:pStyle w:val="Normal"/>
              <w:widowControl w:val="false"/>
              <w:ind w:hanging="0" w:left="313"/>
              <w:jc w:val="both"/>
              <w:rPr>
                <w:color w:val="auto"/>
              </w:rPr>
            </w:pPr>
            <w:r>
              <w:rPr>
                <w:color w:val="auto"/>
                <w:sz w:val="20"/>
              </w:rPr>
              <w:t>Obrazy ze wszystkich kamer podlegają rejestracji.</w:t>
            </w:r>
          </w:p>
          <w:p>
            <w:pPr>
              <w:pStyle w:val="Normal"/>
              <w:widowControl w:val="false"/>
              <w:numPr>
                <w:ilvl w:val="0"/>
                <w:numId w:val="3"/>
              </w:numPr>
              <w:tabs>
                <w:tab w:val="clear" w:pos="709"/>
              </w:tabs>
              <w:ind w:hanging="251" w:left="313"/>
              <w:jc w:val="both"/>
              <w:rPr>
                <w:color w:val="auto"/>
              </w:rPr>
            </w:pPr>
            <w:r>
              <w:rPr>
                <w:color w:val="auto"/>
                <w:sz w:val="20"/>
              </w:rPr>
              <w:t>Prędkość zapisu obrazu – min. 15 klatek/s/kanał.</w:t>
            </w:r>
          </w:p>
          <w:p>
            <w:pPr>
              <w:pStyle w:val="Normal"/>
              <w:widowControl w:val="false"/>
              <w:numPr>
                <w:ilvl w:val="0"/>
                <w:numId w:val="3"/>
              </w:numPr>
              <w:tabs>
                <w:tab w:val="clear" w:pos="709"/>
              </w:tabs>
              <w:ind w:hanging="251" w:left="313"/>
              <w:jc w:val="both"/>
              <w:rPr>
                <w:color w:val="auto"/>
              </w:rPr>
            </w:pPr>
            <w:r>
              <w:rPr>
                <w:color w:val="auto"/>
                <w:sz w:val="20"/>
              </w:rPr>
              <w:t>Rozdzielczość rejestrowanego obrazu min. 1280 x 960 pikseli/kanał (przy prędkości rejestracji jw.).</w:t>
            </w:r>
          </w:p>
          <w:p>
            <w:pPr>
              <w:pStyle w:val="Normal"/>
              <w:widowControl w:val="false"/>
              <w:numPr>
                <w:ilvl w:val="0"/>
                <w:numId w:val="3"/>
              </w:numPr>
              <w:tabs>
                <w:tab w:val="clear" w:pos="709"/>
              </w:tabs>
              <w:ind w:hanging="251" w:left="313"/>
              <w:jc w:val="both"/>
              <w:rPr>
                <w:color w:val="auto"/>
              </w:rPr>
            </w:pPr>
            <w:r>
              <w:rPr>
                <w:color w:val="auto"/>
                <w:sz w:val="20"/>
              </w:rPr>
              <w:t>Rejestracja na nośniku wymiennym, wyjmowanym, umożliwiającym zapis materiału min.</w:t>
            </w:r>
            <w:r>
              <w:rPr>
                <w:color w:val="auto"/>
                <w:sz w:val="20"/>
              </w:rPr>
              <w:t xml:space="preserve"> 250</w:t>
            </w:r>
            <w:r>
              <w:rPr>
                <w:color w:val="auto"/>
                <w:sz w:val="20"/>
              </w:rPr>
              <w:t xml:space="preserve"> godzinnego ze wszystkich kamer wg ww. parametrów, dopuszcza się nośnik wymienny typu dysk twardy 2,5” SSD (z możliwością stosowania HDD) o pojemności sumarycznej min.</w:t>
            </w:r>
            <w:r>
              <w:rPr>
                <w:color w:val="auto"/>
                <w:sz w:val="20"/>
              </w:rPr>
              <w:t xml:space="preserve"> 3 </w:t>
            </w:r>
            <w:r>
              <w:rPr>
                <w:color w:val="auto"/>
                <w:sz w:val="20"/>
              </w:rPr>
              <w:t>TB.</w:t>
            </w:r>
          </w:p>
          <w:p>
            <w:pPr>
              <w:pStyle w:val="Normal"/>
              <w:widowControl w:val="false"/>
              <w:numPr>
                <w:ilvl w:val="0"/>
                <w:numId w:val="3"/>
              </w:numPr>
              <w:tabs>
                <w:tab w:val="clear" w:pos="709"/>
              </w:tabs>
              <w:ind w:hanging="251" w:left="313"/>
              <w:jc w:val="both"/>
              <w:rPr>
                <w:color w:val="auto"/>
              </w:rPr>
            </w:pPr>
            <w:r>
              <w:rPr>
                <w:color w:val="auto"/>
                <w:sz w:val="20"/>
              </w:rPr>
              <w:t>Przeszukiwanie zarejestrowanego materiału na podstawie daty i czasu.</w:t>
            </w:r>
          </w:p>
          <w:p>
            <w:pPr>
              <w:pStyle w:val="Normal"/>
              <w:widowControl w:val="false"/>
              <w:numPr>
                <w:ilvl w:val="0"/>
                <w:numId w:val="3"/>
              </w:numPr>
              <w:tabs>
                <w:tab w:val="clear" w:pos="709"/>
              </w:tabs>
              <w:ind w:hanging="251" w:left="313"/>
              <w:jc w:val="both"/>
              <w:rPr>
                <w:color w:val="auto"/>
              </w:rPr>
            </w:pPr>
            <w:r>
              <w:rPr>
                <w:color w:val="auto"/>
                <w:sz w:val="20"/>
              </w:rPr>
              <w:t>Rejestrator z możliwością przedstawienia obrazu z kamer na             monitorze dotykowym LCD w kilku trybach:</w:t>
            </w:r>
          </w:p>
          <w:p>
            <w:pPr>
              <w:pStyle w:val="Normal"/>
              <w:widowControl w:val="false"/>
              <w:numPr>
                <w:ilvl w:val="1"/>
                <w:numId w:val="3"/>
              </w:numPr>
              <w:ind w:hanging="251" w:left="596"/>
              <w:jc w:val="both"/>
              <w:rPr>
                <w:color w:val="auto"/>
              </w:rPr>
            </w:pPr>
            <w:r>
              <w:rPr>
                <w:color w:val="auto"/>
                <w:sz w:val="20"/>
              </w:rPr>
              <w:t>tryb pracy normalnej – ekran monitora podzielony na cztery obrazy,              z widokiem z kamer wewnętrznych autobusu, jest to tryb załączany po uruchomieniu systemu monitoringu,</w:t>
            </w:r>
          </w:p>
          <w:p>
            <w:pPr>
              <w:pStyle w:val="Normal"/>
              <w:widowControl w:val="false"/>
              <w:numPr>
                <w:ilvl w:val="1"/>
                <w:numId w:val="3"/>
              </w:numPr>
              <w:ind w:hanging="251" w:left="596"/>
              <w:jc w:val="both"/>
              <w:rPr>
                <w:color w:val="auto"/>
              </w:rPr>
            </w:pPr>
            <w:r>
              <w:rPr>
                <w:color w:val="auto"/>
                <w:sz w:val="20"/>
              </w:rPr>
              <w:t>tryb wyboru kamery – możliwość wyboru przez kierowcę, za pomocą ekranu dotykowego, obrazu z każdej kamery w trybie pełnego ekranu. Wybór widoku z kamery cofania</w:t>
            </w:r>
            <w:r>
              <w:rPr>
                <w:color w:val="auto"/>
                <w:sz w:val="20"/>
              </w:rPr>
              <w:t>, obserwujących od zewnątrz drzwi (każda kamera osobno)</w:t>
            </w:r>
            <w:r>
              <w:rPr>
                <w:color w:val="auto"/>
                <w:sz w:val="20"/>
              </w:rPr>
              <w:t xml:space="preserve"> oraz obserwującej pole przed autobusem za pomocą odpowiednich, opisanych przycisków widocznych na ekranie LCD. Ponowne przyciśnięcie ekranu musi spowodować powrót do trybu pracy normalnej,</w:t>
            </w:r>
          </w:p>
          <w:p>
            <w:pPr>
              <w:pStyle w:val="Normal"/>
              <w:widowControl w:val="false"/>
              <w:numPr>
                <w:ilvl w:val="1"/>
                <w:numId w:val="3"/>
              </w:numPr>
              <w:ind w:hanging="251" w:left="596"/>
              <w:jc w:val="both"/>
              <w:rPr>
                <w:color w:val="auto"/>
              </w:rPr>
            </w:pPr>
            <w:r>
              <w:rPr>
                <w:color w:val="auto"/>
                <w:sz w:val="20"/>
              </w:rPr>
              <w:t>tryb otwarcia drzwi – w momencie otwarcia tylko III drzwi autobusu przełącza automatycznie podglą</w:t>
            </w:r>
            <w:r>
              <w:rPr>
                <w:color w:val="auto"/>
                <w:sz w:val="20"/>
              </w:rPr>
              <w:t>d na monitorze LCD na obraz z kamery nr 4 obserwującej przestrzeń drzwi III i kamery zewnętrznej obserwującej drzwi III i IV, analogicznie dzieje się w przypadku wyboru kamery nr 5 obserwującej przestrzeń drzwi IV i kamery zewnętrznej obserwującej drzwi III i IV w momencie otwarcia tylko IV drzwi. W innych konfiguracjach otwarcia drzwi autobusu przedstawiony jest tryb normalny,</w:t>
            </w:r>
          </w:p>
          <w:p>
            <w:pPr>
              <w:pStyle w:val="Normal"/>
              <w:widowControl w:val="false"/>
              <w:numPr>
                <w:ilvl w:val="1"/>
                <w:numId w:val="3"/>
              </w:numPr>
              <w:ind w:hanging="251" w:left="596"/>
              <w:jc w:val="both"/>
              <w:rPr>
                <w:color w:val="auto"/>
              </w:rPr>
            </w:pPr>
            <w:r>
              <w:rPr>
                <w:color w:val="auto"/>
                <w:sz w:val="20"/>
              </w:rPr>
              <w:t>tryb cofania – obraz z kamery tylnej (cofania) przełączany na monitor LCD na czas załączenia biegu wstecznego,</w:t>
            </w:r>
          </w:p>
          <w:p>
            <w:pPr>
              <w:pStyle w:val="Normal"/>
              <w:widowControl w:val="false"/>
              <w:numPr>
                <w:ilvl w:val="0"/>
                <w:numId w:val="3"/>
              </w:numPr>
              <w:tabs>
                <w:tab w:val="clear" w:pos="709"/>
              </w:tabs>
              <w:ind w:hanging="251" w:left="313"/>
              <w:jc w:val="both"/>
              <w:rPr>
                <w:color w:val="auto"/>
              </w:rPr>
            </w:pPr>
            <w:r>
              <w:rPr>
                <w:color w:val="auto"/>
                <w:sz w:val="20"/>
              </w:rPr>
              <w:t>Na monitorze podczas pracy rejestratora musi być wyświetlana (oprócz   daty i godziny) jednoznaczna informacja, że materiał video jest rejestrowany na nośniku danych.</w:t>
            </w:r>
          </w:p>
          <w:p>
            <w:pPr>
              <w:pStyle w:val="Normal"/>
              <w:widowControl w:val="false"/>
              <w:numPr>
                <w:ilvl w:val="0"/>
                <w:numId w:val="3"/>
              </w:numPr>
              <w:tabs>
                <w:tab w:val="clear" w:pos="709"/>
              </w:tabs>
              <w:ind w:hanging="313" w:left="313"/>
              <w:jc w:val="both"/>
              <w:rPr>
                <w:color w:val="auto"/>
              </w:rPr>
            </w:pPr>
            <w:r>
              <w:rPr>
                <w:color w:val="auto"/>
                <w:sz w:val="20"/>
              </w:rPr>
              <w:t>Sygnalizacja stanów awaryjnych systemu monitoringu:</w:t>
            </w:r>
          </w:p>
          <w:p>
            <w:pPr>
              <w:pStyle w:val="Normal"/>
              <w:widowControl w:val="false"/>
              <w:numPr>
                <w:ilvl w:val="1"/>
                <w:numId w:val="3"/>
              </w:numPr>
              <w:ind w:hanging="313" w:left="596"/>
              <w:jc w:val="both"/>
              <w:rPr>
                <w:color w:val="auto"/>
              </w:rPr>
            </w:pPr>
            <w:r>
              <w:rPr>
                <w:color w:val="auto"/>
                <w:sz w:val="20"/>
              </w:rPr>
              <w:t>brak co najmniej jednego sygnału video - optycznie, powtarzającym się komunikatem na ekranie dotykowym LCD,</w:t>
            </w:r>
          </w:p>
          <w:p>
            <w:pPr>
              <w:pStyle w:val="Normal"/>
              <w:widowControl w:val="false"/>
              <w:numPr>
                <w:ilvl w:val="1"/>
                <w:numId w:val="3"/>
              </w:numPr>
              <w:ind w:hanging="313" w:left="596"/>
              <w:jc w:val="both"/>
              <w:rPr>
                <w:color w:val="auto"/>
              </w:rPr>
            </w:pPr>
            <w:r>
              <w:rPr>
                <w:color w:val="auto"/>
                <w:sz w:val="20"/>
              </w:rPr>
              <w:t>awaria dysku – optycznie, powtarzającym się komunikatem na ekranie dotykowym LCD.</w:t>
            </w:r>
          </w:p>
          <w:p>
            <w:pPr>
              <w:pStyle w:val="Normal"/>
              <w:widowControl w:val="false"/>
              <w:numPr>
                <w:ilvl w:val="0"/>
                <w:numId w:val="3"/>
              </w:numPr>
              <w:tabs>
                <w:tab w:val="clear" w:pos="709"/>
              </w:tabs>
              <w:ind w:hanging="313" w:left="313"/>
              <w:jc w:val="both"/>
              <w:rPr>
                <w:color w:val="auto"/>
              </w:rPr>
            </w:pPr>
            <w:r>
              <w:rPr>
                <w:color w:val="auto"/>
                <w:sz w:val="20"/>
                <w:szCs w:val="20"/>
              </w:rPr>
              <w:t>W rejestrowanym materiale musi być zawarta informacja o dacie, godzinie, numerze linii, numerze kursu, brygady oraz nazw przystanków z wykorzystaniem danych z magistrali danych autokomputera PEKA-ITS oraz nr boczny autobusu i zapis prędkości pojazdu.</w:t>
            </w:r>
          </w:p>
          <w:p>
            <w:pPr>
              <w:pStyle w:val="Normal"/>
              <w:widowControl w:val="false"/>
              <w:numPr>
                <w:ilvl w:val="0"/>
                <w:numId w:val="3"/>
              </w:numPr>
              <w:tabs>
                <w:tab w:val="clear" w:pos="709"/>
              </w:tabs>
              <w:ind w:hanging="313" w:left="313"/>
              <w:jc w:val="both"/>
              <w:rPr>
                <w:color w:val="auto"/>
              </w:rPr>
            </w:pPr>
            <w:r>
              <w:rPr>
                <w:color w:val="auto"/>
                <w:sz w:val="20"/>
              </w:rPr>
              <w:t>Standardowe przyłącza Ethernetowe dla sygnału video.</w:t>
            </w:r>
          </w:p>
          <w:p>
            <w:pPr>
              <w:pStyle w:val="Normal"/>
              <w:widowControl w:val="false"/>
              <w:numPr>
                <w:ilvl w:val="0"/>
                <w:numId w:val="3"/>
              </w:numPr>
              <w:tabs>
                <w:tab w:val="clear" w:pos="709"/>
              </w:tabs>
              <w:ind w:hanging="313" w:left="313"/>
              <w:jc w:val="both"/>
              <w:rPr>
                <w:color w:val="auto"/>
              </w:rPr>
            </w:pPr>
            <w:r>
              <w:rPr>
                <w:color w:val="auto"/>
                <w:sz w:val="20"/>
              </w:rPr>
              <w:t>Zabezpieczenie przed ingerencją w zarejestrowany materiał – „znak     wodny”.</w:t>
            </w:r>
          </w:p>
          <w:p>
            <w:pPr>
              <w:pStyle w:val="Normal"/>
              <w:widowControl w:val="false"/>
              <w:numPr>
                <w:ilvl w:val="0"/>
                <w:numId w:val="3"/>
              </w:numPr>
              <w:tabs>
                <w:tab w:val="clear" w:pos="709"/>
              </w:tabs>
              <w:ind w:hanging="313" w:left="313"/>
              <w:jc w:val="both"/>
              <w:rPr>
                <w:color w:val="auto"/>
              </w:rPr>
            </w:pPr>
            <w:r>
              <w:rPr>
                <w:color w:val="auto"/>
                <w:sz w:val="20"/>
              </w:rPr>
              <w:t>Uruchomienie rejestracji musi nastąpić natychmiast po uruchomieniu się systemu operacyjnego, a podtrzymanie rejestracji musi trwać min. 60 minut po wyłączeniu zapłonu.</w:t>
            </w:r>
          </w:p>
          <w:p>
            <w:pPr>
              <w:pStyle w:val="Normal"/>
              <w:widowControl w:val="false"/>
              <w:numPr>
                <w:ilvl w:val="0"/>
                <w:numId w:val="3"/>
              </w:numPr>
              <w:tabs>
                <w:tab w:val="clear" w:pos="709"/>
              </w:tabs>
              <w:ind w:hanging="313" w:left="313"/>
              <w:jc w:val="both"/>
              <w:rPr>
                <w:color w:val="auto"/>
              </w:rPr>
            </w:pPr>
            <w:r>
              <w:rPr>
                <w:color w:val="auto"/>
                <w:sz w:val="20"/>
              </w:rPr>
              <w:t>Rejestrator wraz z ew. dodatkowymi urządzeniami musi być umieszczony w kabinie kierowcy, w schowku zamykanym na klucz typu „patent”.</w:t>
            </w:r>
          </w:p>
          <w:p>
            <w:pPr>
              <w:pStyle w:val="Normal"/>
              <w:widowControl w:val="false"/>
              <w:numPr>
                <w:ilvl w:val="0"/>
                <w:numId w:val="3"/>
              </w:numPr>
              <w:tabs>
                <w:tab w:val="clear" w:pos="709"/>
              </w:tabs>
              <w:ind w:hanging="313" w:left="313"/>
              <w:jc w:val="both"/>
              <w:rPr>
                <w:color w:val="auto"/>
              </w:rPr>
            </w:pPr>
            <w:r>
              <w:rPr>
                <w:color w:val="auto"/>
                <w:sz w:val="20"/>
              </w:rPr>
              <w:t>Rejestrator wraz układem typu UPS,  który umożliwi podtrzymanie pracy rejestratora mobilnego (wraz z osprzętem - w tym kamery, mikrofon) przez min. czas 10 minut i bezpieczne zamknięcie systemu rejestratora, w sytuacjach awaryjnych  występujących:</w:t>
            </w:r>
          </w:p>
          <w:p>
            <w:pPr>
              <w:pStyle w:val="Normal"/>
              <w:widowControl w:val="false"/>
              <w:numPr>
                <w:ilvl w:val="1"/>
                <w:numId w:val="3"/>
              </w:numPr>
              <w:ind w:hanging="251" w:left="596"/>
              <w:jc w:val="both"/>
              <w:rPr>
                <w:color w:val="auto"/>
              </w:rPr>
            </w:pPr>
            <w:r>
              <w:rPr>
                <w:color w:val="auto"/>
                <w:sz w:val="20"/>
              </w:rPr>
              <w:t>na skutek jednoczesnego zaniku głównego zasilania oraz zasilania po załączonym zapłonie,</w:t>
            </w:r>
          </w:p>
          <w:p>
            <w:pPr>
              <w:pStyle w:val="Normal"/>
              <w:widowControl w:val="false"/>
              <w:numPr>
                <w:ilvl w:val="1"/>
                <w:numId w:val="3"/>
              </w:numPr>
              <w:ind w:hanging="251" w:left="596"/>
              <w:jc w:val="both"/>
              <w:rPr>
                <w:color w:val="auto"/>
              </w:rPr>
            </w:pPr>
            <w:r>
              <w:rPr>
                <w:color w:val="auto"/>
                <w:sz w:val="20"/>
              </w:rPr>
              <w:t>na skutek zaniku głównego zasilania w okresie, kiedy system monitoringu jest w fazie "podtrzymania" po wyłączeniu zapłonu.</w:t>
            </w:r>
          </w:p>
          <w:p>
            <w:pPr>
              <w:pStyle w:val="Normal"/>
              <w:widowControl w:val="false"/>
              <w:ind w:hanging="284" w:left="313"/>
              <w:jc w:val="both"/>
              <w:rPr>
                <w:color w:val="auto"/>
              </w:rPr>
            </w:pPr>
            <w:r>
              <w:rPr>
                <w:color w:val="auto"/>
                <w:sz w:val="20"/>
              </w:rPr>
              <w:t>17.</w:t>
            </w:r>
            <w:r>
              <w:rPr>
                <w:color w:val="auto"/>
                <w:sz w:val="20"/>
              </w:rPr>
              <w:t xml:space="preserve"> System monitoringu musi posiadać funkcję </w:t>
            </w:r>
            <w:r>
              <w:rPr>
                <w:color w:val="auto"/>
                <w:sz w:val="20"/>
              </w:rPr>
              <w:t>podglądu</w:t>
            </w:r>
            <w:r>
              <w:rPr>
                <w:color w:val="auto"/>
                <w:sz w:val="20"/>
              </w:rPr>
              <w:t xml:space="preserve"> online, tzn. zapewnić możliwość zdalnego podglądu z kamer podłączonych do rejestratora,</w:t>
            </w:r>
          </w:p>
          <w:p>
            <w:pPr>
              <w:pStyle w:val="Normal"/>
              <w:widowControl w:val="false"/>
              <w:numPr>
                <w:ilvl w:val="1"/>
                <w:numId w:val="3"/>
              </w:numPr>
              <w:ind w:hanging="251" w:left="596"/>
              <w:jc w:val="both"/>
              <w:rPr>
                <w:color w:val="auto"/>
              </w:rPr>
            </w:pPr>
            <w:r>
              <w:rPr>
                <w:color w:val="auto"/>
                <w:sz w:val="20"/>
              </w:rPr>
              <w:t>system monitoringu w autobusie musi być kompatybilny</w:t>
            </w:r>
            <w:r>
              <w:rPr>
                <w:strike w:val="false"/>
                <w:dstrike w:val="false"/>
                <w:color w:val="auto"/>
                <w:sz w:val="20"/>
              </w:rPr>
              <w:t xml:space="preserve"> lub stanowić rozszerzenie istniejącego </w:t>
            </w:r>
            <w:r>
              <w:rPr>
                <w:color w:val="auto"/>
                <w:sz w:val="20"/>
              </w:rPr>
              <w:t>systemu monitoringu online używanego przez Zamawiającego.</w:t>
            </w:r>
          </w:p>
          <w:p>
            <w:pPr>
              <w:pStyle w:val="Normal"/>
              <w:widowControl w:val="false"/>
              <w:numPr>
                <w:ilvl w:val="1"/>
                <w:numId w:val="3"/>
              </w:numPr>
              <w:ind w:hanging="251" w:left="596"/>
              <w:jc w:val="both"/>
              <w:rPr>
                <w:color w:val="auto"/>
              </w:rPr>
            </w:pPr>
            <w:r>
              <w:rPr>
                <w:color w:val="auto"/>
                <w:sz w:val="20"/>
              </w:rPr>
              <w:t>komunikacja rejestratora z siecią Zamawiającego musi odbywać się w technologii bezprzewodowej</w:t>
            </w:r>
          </w:p>
          <w:p>
            <w:pPr>
              <w:pStyle w:val="Normal"/>
              <w:widowControl w:val="false"/>
              <w:numPr>
                <w:ilvl w:val="0"/>
                <w:numId w:val="0"/>
              </w:numPr>
              <w:suppressAutoHyphens w:val="true"/>
              <w:bidi w:val="0"/>
              <w:spacing w:before="0" w:after="0"/>
              <w:ind w:hanging="0" w:left="680" w:right="0"/>
              <w:jc w:val="both"/>
              <w:rPr>
                <w:color w:val="auto"/>
              </w:rPr>
            </w:pPr>
            <w:r>
              <w:rPr>
                <w:color w:val="auto"/>
                <w:sz w:val="20"/>
              </w:rPr>
              <w:t xml:space="preserve">- GSM </w:t>
            </w:r>
            <w:r>
              <w:rPr>
                <w:color w:val="auto"/>
                <w:sz w:val="20"/>
              </w:rPr>
              <w:t>4G lub 5G</w:t>
            </w:r>
            <w:r>
              <w:rPr>
                <w:color w:val="auto"/>
                <w:sz w:val="20"/>
              </w:rPr>
              <w:t xml:space="preserve"> – na terenie miasta;</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xml:space="preserve">-  </w:t>
            </w:r>
            <w:r>
              <w:rPr>
                <w:strike w:val="false"/>
                <w:dstrike w:val="false"/>
                <w:color w:val="auto"/>
                <w:sz w:val="20"/>
              </w:rPr>
              <w:t>z wykorzystaniem</w:t>
            </w:r>
            <w:r>
              <w:rPr>
                <w:strike w:val="false"/>
                <w:dstrike w:val="false"/>
                <w:color w:val="auto"/>
                <w:sz w:val="20"/>
              </w:rPr>
              <w:t xml:space="preserve"> Wi-Fi 2,4GHz / 5GHz – na terenie zajezdni</w:t>
            </w:r>
          </w:p>
          <w:p>
            <w:pPr>
              <w:pStyle w:val="Normal"/>
              <w:widowControl w:val="false"/>
              <w:numPr>
                <w:ilvl w:val="1"/>
                <w:numId w:val="3"/>
              </w:numPr>
              <w:ind w:hanging="251" w:left="596"/>
              <w:jc w:val="both"/>
              <w:rPr>
                <w:color w:val="auto"/>
              </w:rPr>
            </w:pPr>
            <w:r>
              <w:rPr>
                <w:color w:val="auto"/>
                <w:sz w:val="20"/>
              </w:rPr>
              <w:t xml:space="preserve">Modem/router obsługujący transmisję online musi posiadać antenę zewnętrzną. </w:t>
            </w:r>
            <w:r>
              <w:rPr>
                <w:color w:val="auto"/>
                <w:sz w:val="20"/>
              </w:rPr>
              <w:t xml:space="preserve"> Modem i jego osprzęt musi umożliwiać </w:t>
            </w:r>
            <w:r>
              <w:rPr>
                <w:color w:val="auto"/>
                <w:sz w:val="20"/>
              </w:rPr>
              <w:t>transmisję danych na potrzeby innych usług wykorzystywanych w pojeździe, np.</w:t>
            </w:r>
            <w:r>
              <w:rPr>
                <w:color w:val="auto"/>
                <w:sz w:val="20"/>
              </w:rPr>
              <w:t xml:space="preserve"> system monitorów informacji publicznej / reklamowych. W razie konieczności Wykonawca dokona niezbędnej zmiany konfiguracji modemu oraz monitorów,</w:t>
            </w:r>
          </w:p>
          <w:p>
            <w:pPr>
              <w:pStyle w:val="Normal"/>
              <w:widowControl w:val="false"/>
              <w:numPr>
                <w:ilvl w:val="1"/>
                <w:numId w:val="3"/>
              </w:numPr>
              <w:ind w:hanging="251" w:left="596"/>
              <w:jc w:val="both"/>
              <w:rPr>
                <w:color w:val="auto"/>
              </w:rPr>
            </w:pPr>
            <w:r>
              <w:rPr>
                <w:strike w:val="false"/>
                <w:dstrike w:val="false"/>
                <w:color w:val="auto"/>
                <w:sz w:val="20"/>
              </w:rPr>
              <w:t>system musi umożliwiać zestawienie bezpiecznego połączenia autobusu z siecią Zamawiającego poprzez tunel VPN oraz prywatną sieć APN dostarczaną przez operatora sieci GSM. Wybór technologii zostanie uzgodniony na etapie realizacji dostawy. Nie dopuszcza się transmisji danych z pojazdu w publicznej sieci Internet bez wdrożenia jednego z zabezpieczeń wymienionych powyżej.</w:t>
            </w:r>
          </w:p>
          <w:p>
            <w:pPr>
              <w:pStyle w:val="Normal"/>
              <w:widowControl w:val="false"/>
              <w:numPr>
                <w:ilvl w:val="1"/>
                <w:numId w:val="3"/>
              </w:numPr>
              <w:ind w:hanging="251" w:left="596"/>
              <w:jc w:val="both"/>
              <w:rPr>
                <w:color w:val="auto"/>
              </w:rPr>
            </w:pPr>
            <w:r>
              <w:rPr>
                <w:strike w:val="false"/>
                <w:dstrike w:val="false"/>
                <w:color w:val="auto"/>
                <w:sz w:val="20"/>
              </w:rPr>
              <w:t>Wykonawca zobowiązuje się do:</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dostawy niezbędnych urządzeń i oprogramowania;</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xml:space="preserve">- </w:t>
            </w:r>
            <w:r>
              <w:rPr>
                <w:strike w:val="false"/>
                <w:dstrike w:val="false"/>
                <w:color w:val="auto"/>
                <w:sz w:val="20"/>
              </w:rPr>
              <w:t>aktualizacji oprogramowania (firmware) urządzeń do najnowszej, dostępnej na dzień dostawy, wersji;</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dokonania konfiguracji wszystkich elementów sys. monitoringu wraz z dostępem online (m.in.: kamer, rejestratora, modemu/routera);</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xml:space="preserve">- instalacji i wymian kart SIM oraz dokonania niezbędnych </w:t>
            </w:r>
            <w:r>
              <w:rPr>
                <w:strike w:val="false"/>
                <w:dstrike w:val="false"/>
                <w:color w:val="auto"/>
                <w:sz w:val="20"/>
              </w:rPr>
              <w:t>zmian w</w:t>
            </w:r>
            <w:r>
              <w:rPr>
                <w:strike w:val="false"/>
                <w:dstrike w:val="false"/>
                <w:color w:val="auto"/>
                <w:sz w:val="20"/>
              </w:rPr>
              <w:t xml:space="preserve"> konfiguracji </w:t>
            </w:r>
            <w:r>
              <w:rPr>
                <w:strike w:val="false"/>
                <w:dstrike w:val="false"/>
                <w:color w:val="auto"/>
                <w:sz w:val="20"/>
              </w:rPr>
              <w:t>modemów/routerów</w:t>
            </w:r>
            <w:r>
              <w:rPr>
                <w:strike w:val="false"/>
                <w:dstrike w:val="false"/>
                <w:color w:val="auto"/>
                <w:sz w:val="20"/>
              </w:rPr>
              <w:t xml:space="preserve"> (w przypadku ich uszkodzenia lub zmiany operatora GSM);</w:t>
            </w:r>
          </w:p>
          <w:p>
            <w:pPr>
              <w:pStyle w:val="Normal"/>
              <w:widowControl w:val="false"/>
              <w:numPr>
                <w:ilvl w:val="0"/>
                <w:numId w:val="0"/>
              </w:numPr>
              <w:suppressAutoHyphens w:val="true"/>
              <w:bidi w:val="0"/>
              <w:spacing w:before="0" w:after="0"/>
              <w:ind w:hanging="0" w:left="680" w:right="0"/>
              <w:jc w:val="both"/>
              <w:rPr>
                <w:color w:val="auto"/>
              </w:rPr>
            </w:pPr>
            <w:r>
              <w:rPr>
                <w:strike w:val="false"/>
                <w:dstrike w:val="false"/>
                <w:color w:val="auto"/>
                <w:sz w:val="20"/>
              </w:rPr>
              <w:t>- przekazania danych logowania do dostarczonych urządzeń (m.in. kamer, rejestratora, modemu/routera);</w:t>
            </w:r>
          </w:p>
          <w:p>
            <w:pPr>
              <w:pStyle w:val="Normal"/>
              <w:widowControl w:val="false"/>
              <w:numPr>
                <w:ilvl w:val="1"/>
                <w:numId w:val="3"/>
              </w:numPr>
              <w:ind w:hanging="251" w:left="596"/>
              <w:jc w:val="both"/>
              <w:rPr>
                <w:color w:val="auto"/>
              </w:rPr>
            </w:pPr>
            <w:r>
              <w:rPr>
                <w:strike w:val="false"/>
                <w:dstrike w:val="false"/>
                <w:color w:val="auto"/>
                <w:sz w:val="20"/>
              </w:rPr>
              <w:t>Zamawiający zobowiązuje się do:</w:t>
            </w:r>
          </w:p>
          <w:p>
            <w:pPr>
              <w:pStyle w:val="Normal"/>
              <w:widowControl w:val="false"/>
              <w:numPr>
                <w:ilvl w:val="0"/>
                <w:numId w:val="0"/>
              </w:numPr>
              <w:suppressAutoHyphens w:val="true"/>
              <w:bidi w:val="0"/>
              <w:spacing w:before="0" w:after="0"/>
              <w:ind w:hanging="0" w:left="737" w:right="0"/>
              <w:jc w:val="both"/>
              <w:rPr>
                <w:color w:val="auto"/>
              </w:rPr>
            </w:pPr>
            <w:r>
              <w:rPr>
                <w:strike w:val="false"/>
                <w:dstrike w:val="false"/>
                <w:color w:val="auto"/>
                <w:sz w:val="20"/>
              </w:rPr>
              <w:t xml:space="preserve">- dostarczenia poświadczeń pozwalających na połączenie z siecią WiFi </w:t>
            </w:r>
            <w:r>
              <w:rPr>
                <w:strike w:val="false"/>
                <w:dstrike w:val="false"/>
                <w:color w:val="auto"/>
                <w:sz w:val="20"/>
              </w:rPr>
              <w:t>Zamawiającego</w:t>
            </w:r>
            <w:r>
              <w:rPr>
                <w:strike w:val="false"/>
                <w:dstrike w:val="false"/>
                <w:color w:val="auto"/>
                <w:sz w:val="20"/>
              </w:rPr>
              <w:t xml:space="preserve"> na terenie zajezdni;</w:t>
            </w:r>
          </w:p>
          <w:p>
            <w:pPr>
              <w:pStyle w:val="Normal"/>
              <w:widowControl w:val="false"/>
              <w:numPr>
                <w:ilvl w:val="0"/>
                <w:numId w:val="0"/>
              </w:numPr>
              <w:suppressAutoHyphens w:val="true"/>
              <w:bidi w:val="0"/>
              <w:spacing w:before="0" w:after="0"/>
              <w:ind w:hanging="0" w:left="737" w:right="0"/>
              <w:jc w:val="both"/>
              <w:rPr>
                <w:color w:val="auto"/>
              </w:rPr>
            </w:pPr>
            <w:r>
              <w:rPr>
                <w:strike w:val="false"/>
                <w:dstrike w:val="false"/>
                <w:color w:val="auto"/>
                <w:sz w:val="20"/>
              </w:rPr>
              <w:t>- dostarczenie kart SIM z uruchomioną usługą prywatnego APN</w:t>
            </w:r>
            <w:r>
              <w:rPr>
                <w:strike w:val="false"/>
                <w:dstrike w:val="false"/>
                <w:color w:val="auto"/>
                <w:sz w:val="20"/>
              </w:rPr>
              <w:t xml:space="preserve"> – </w:t>
            </w:r>
            <w:r>
              <w:rPr>
                <w:strike w:val="false"/>
                <w:dstrike w:val="false"/>
                <w:color w:val="auto"/>
                <w:sz w:val="20"/>
              </w:rPr>
              <w:t xml:space="preserve">komórkowa transmisja danych zapewniona </w:t>
            </w:r>
            <w:r>
              <w:rPr>
                <w:strike w:val="false"/>
                <w:dstrike w:val="false"/>
                <w:color w:val="auto"/>
                <w:sz w:val="20"/>
              </w:rPr>
              <w:t>przez podmiot trzeci, na drodze odrębnych umów;</w:t>
            </w:r>
          </w:p>
          <w:p>
            <w:pPr>
              <w:pStyle w:val="Normal"/>
              <w:widowControl w:val="false"/>
              <w:numPr>
                <w:ilvl w:val="0"/>
                <w:numId w:val="0"/>
              </w:numPr>
              <w:suppressAutoHyphens w:val="true"/>
              <w:bidi w:val="0"/>
              <w:spacing w:before="0" w:after="0"/>
              <w:ind w:hanging="0" w:left="737" w:right="0"/>
              <w:jc w:val="both"/>
              <w:rPr>
                <w:color w:val="auto"/>
              </w:rPr>
            </w:pPr>
            <w:r>
              <w:rPr>
                <w:strike w:val="false"/>
                <w:dstrike w:val="false"/>
                <w:color w:val="auto"/>
                <w:sz w:val="20"/>
              </w:rPr>
              <w:t>- przekazania na etapie odbiorów kart SIM operatora GSM do poszczególnych, odbieranych autobusów (1 szt./pojazd). Instalację karty w pojeździe przeprowadza Wykonawca.</w:t>
            </w:r>
          </w:p>
          <w:p>
            <w:pPr>
              <w:pStyle w:val="Normal"/>
              <w:widowControl w:val="false"/>
              <w:numPr>
                <w:ilvl w:val="1"/>
                <w:numId w:val="3"/>
              </w:numPr>
              <w:ind w:hanging="251" w:left="596"/>
              <w:jc w:val="both"/>
              <w:rPr>
                <w:color w:val="auto"/>
              </w:rPr>
            </w:pPr>
            <w:r>
              <w:rPr>
                <w:strike w:val="false"/>
                <w:dstrike w:val="false"/>
                <w:color w:val="auto"/>
                <w:sz w:val="20"/>
              </w:rPr>
              <w:t>dostarczone oprogramowanie nie może generować dodatkowych kosztów wynikających z jego użytkowania i serwisu (np. opłat licencyjnych, subskrypcyjnych);</w:t>
            </w:r>
          </w:p>
          <w:p>
            <w:pPr>
              <w:pStyle w:val="Normal"/>
              <w:widowControl w:val="false"/>
              <w:numPr>
                <w:ilvl w:val="1"/>
                <w:numId w:val="3"/>
              </w:numPr>
              <w:ind w:hanging="251" w:left="596"/>
              <w:jc w:val="both"/>
              <w:rPr>
                <w:color w:val="auto"/>
              </w:rPr>
            </w:pPr>
            <w:r>
              <w:rPr>
                <w:color w:val="auto"/>
                <w:sz w:val="20"/>
              </w:rPr>
              <w:t>dla potrzeb CNR oprogramowanie funkcji online musi umożliwić:</w:t>
            </w:r>
          </w:p>
          <w:p>
            <w:pPr>
              <w:pStyle w:val="Normal"/>
              <w:widowControl w:val="false"/>
              <w:numPr>
                <w:ilvl w:val="0"/>
                <w:numId w:val="6"/>
              </w:numPr>
              <w:ind w:hanging="251" w:left="880"/>
              <w:jc w:val="both"/>
              <w:rPr>
                <w:color w:val="auto"/>
              </w:rPr>
            </w:pPr>
            <w:r>
              <w:rPr>
                <w:color w:val="auto"/>
                <w:sz w:val="20"/>
              </w:rPr>
              <w:t>nawiązanie połączenia online z monitoringiem w wyznaczonym pojeździe;</w:t>
            </w:r>
          </w:p>
          <w:p>
            <w:pPr>
              <w:pStyle w:val="Normal"/>
              <w:widowControl w:val="false"/>
              <w:numPr>
                <w:ilvl w:val="0"/>
                <w:numId w:val="6"/>
              </w:numPr>
              <w:ind w:hanging="251" w:left="880"/>
              <w:jc w:val="both"/>
              <w:rPr>
                <w:color w:val="auto"/>
              </w:rPr>
            </w:pPr>
            <w:r>
              <w:rPr>
                <w:color w:val="auto"/>
                <w:sz w:val="20"/>
              </w:rPr>
              <w:t>wybranie przez dyspozytora podglądu z kamer autobusu z selekcją obrazu z poszczególnych kamer,</w:t>
            </w:r>
          </w:p>
          <w:p>
            <w:pPr>
              <w:pStyle w:val="Normal"/>
              <w:widowControl w:val="false"/>
              <w:numPr>
                <w:ilvl w:val="0"/>
                <w:numId w:val="6"/>
              </w:numPr>
              <w:ind w:hanging="251" w:left="880"/>
              <w:jc w:val="both"/>
              <w:rPr>
                <w:color w:val="auto"/>
              </w:rPr>
            </w:pPr>
            <w:r>
              <w:rPr>
                <w:color w:val="auto"/>
                <w:sz w:val="20"/>
              </w:rPr>
              <w:t>nadzorowanie czasu prowadzonej transmisji przez wyświetlanie cykliczne na ekranie komputera (w odstępach czasowych równych 1 minucie, definiowanych przez CNR na etapie uruchomienia systemu, z możliwością późniejszej zmiany) przypomnienia skierowanego do dyspozytora  o konieczności zamknięcia łącza. Dyspozytor potwierdzając (np. wskaźnikiem myszy na przycisku ekranowym aplikacji) sygnalizowane komunikaty musi mieć możliwość przedłużania czasu podglądu „transmitowanego” obrazu. Brak potwierdzenia sygnalizacji musi spowodować automatyczne zamknięcie łącza po określonym w konfiguracji serwisowej czasie.</w:t>
            </w:r>
          </w:p>
          <w:p>
            <w:pPr>
              <w:pStyle w:val="Normal"/>
              <w:widowControl w:val="false"/>
              <w:ind w:hanging="284" w:left="313"/>
              <w:jc w:val="both"/>
              <w:rPr>
                <w:color w:val="auto"/>
              </w:rPr>
            </w:pPr>
            <w:r>
              <w:rPr>
                <w:color w:val="auto"/>
                <w:sz w:val="20"/>
              </w:rPr>
              <w:t>18. Na czas odbiorów technicznych autobusów, Wykonawca musi zapewnić 1  uszkodzony dysk</w:t>
            </w:r>
            <w:r>
              <w:rPr>
                <w:color w:val="auto"/>
                <w:sz w:val="20"/>
              </w:rPr>
              <w:t xml:space="preserve"> (złomowy, bez wartości użytkowej)</w:t>
            </w:r>
            <w:r>
              <w:rPr>
                <w:color w:val="auto"/>
                <w:sz w:val="20"/>
              </w:rPr>
              <w:t xml:space="preserve"> </w:t>
            </w:r>
            <w:r>
              <w:rPr>
                <w:color w:val="auto"/>
                <w:sz w:val="20"/>
              </w:rPr>
              <w:t>dedykowany do oferowanego rejestratora, który posłuży do sprawdzenie wymaganej funkcjonalności</w:t>
            </w:r>
            <w:r>
              <w:rPr>
                <w:color w:val="auto"/>
              </w:rPr>
              <w:t>.</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sz w:val="20"/>
                <w:szCs w:val="20"/>
              </w:rPr>
            </w:pPr>
            <w:r>
              <w:rPr>
                <w:b/>
                <w:sz w:val="20"/>
                <w:szCs w:val="20"/>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pPr>
            <w:r>
              <w:rPr/>
            </w:r>
          </w:p>
          <w:p>
            <w:pPr>
              <w:pStyle w:val="Tekstkomentarza1"/>
              <w:widowControl w:val="false"/>
              <w:rPr/>
            </w:pPr>
            <w:r>
              <w:rPr/>
            </w:r>
          </w:p>
          <w:p>
            <w:pPr>
              <w:pStyle w:val="Tekstkomentarza1"/>
              <w:widowControl w:val="false"/>
              <w:rPr/>
            </w:pPr>
            <w:r>
              <w:rPr/>
            </w:r>
          </w:p>
          <w:p>
            <w:pPr>
              <w:pStyle w:val="Tekstkomentarza1"/>
              <w:widowControl w:val="false"/>
              <w:rPr/>
            </w:pPr>
            <w:r>
              <w:rPr/>
            </w:r>
          </w:p>
          <w:p>
            <w:pPr>
              <w:pStyle w:val="Tekstkomentarza1"/>
              <w:widowControl w:val="false"/>
              <w:rPr/>
            </w:pPr>
            <w:r>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tc>
      </w:tr>
      <w:tr>
        <w:trPr>
          <w:trHeight w:val="369" w:hRule="atLeast"/>
        </w:trPr>
        <w:tc>
          <w:tcPr>
            <w:tcW w:w="1829"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2.</w:t>
            </w:r>
          </w:p>
          <w:p>
            <w:pPr>
              <w:pStyle w:val="Normal"/>
              <w:widowControl w:val="false"/>
              <w:rPr/>
            </w:pPr>
            <w:r>
              <w:rPr>
                <w:b/>
                <w:bCs/>
                <w:sz w:val="20"/>
              </w:rPr>
              <w:t>Kamery</w:t>
            </w:r>
          </w:p>
        </w:tc>
        <w:tc>
          <w:tcPr>
            <w:tcW w:w="6519" w:type="dxa"/>
            <w:tcBorders>
              <w:top w:val="single" w:sz="4" w:space="0" w:color="000000"/>
              <w:left w:val="single" w:sz="4" w:space="0" w:color="000000"/>
              <w:bottom w:val="single" w:sz="4" w:space="0" w:color="000000"/>
            </w:tcBorders>
            <w:shd w:color="auto" w:fill="auto" w:val="clear"/>
          </w:tcPr>
          <w:p>
            <w:pPr>
              <w:pStyle w:val="Tekstpodstawowywcity21"/>
              <w:widowControl w:val="false"/>
              <w:ind w:hanging="0" w:left="0"/>
              <w:rPr/>
            </w:pPr>
            <w:r>
              <w:rPr/>
              <w:t>Kamery IP monitorujące wnętrze autobusu.</w:t>
            </w:r>
          </w:p>
          <w:p>
            <w:pPr>
              <w:pStyle w:val="Tekstpodstawowywcity21"/>
              <w:widowControl w:val="false"/>
              <w:ind w:hanging="0" w:left="0"/>
              <w:rPr/>
            </w:pPr>
            <w:r>
              <w:rPr/>
              <w:t>1. Przetwornik – kolorowy.</w:t>
            </w:r>
          </w:p>
          <w:p>
            <w:pPr>
              <w:pStyle w:val="Tekstpodstawowywcity21"/>
              <w:widowControl w:val="false"/>
              <w:ind w:hanging="0" w:left="0"/>
              <w:rPr/>
            </w:pPr>
            <w:r>
              <w:rPr/>
              <w:t>2. Rozdzielczość min. 1280 x 960 pikseli.</w:t>
            </w:r>
          </w:p>
          <w:p>
            <w:pPr>
              <w:pStyle w:val="Tekstpodstawowywcity21"/>
              <w:widowControl w:val="false"/>
              <w:ind w:hanging="0" w:left="0"/>
              <w:rPr/>
            </w:pPr>
            <w:r>
              <w:rPr/>
              <w:t>3. Czułość nie gorsza niż 0,5 lx przy F=2,8.</w:t>
            </w:r>
          </w:p>
          <w:p>
            <w:pPr>
              <w:pStyle w:val="Normal"/>
              <w:widowControl w:val="false"/>
              <w:jc w:val="both"/>
              <w:rPr/>
            </w:pPr>
            <w:r>
              <w:rPr>
                <w:sz w:val="20"/>
              </w:rPr>
              <w:t>4. Kąt widzenia obiektywu 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przystosowane do współpracy z dostarczanym rejestratorem.</w:t>
            </w:r>
          </w:p>
          <w:p>
            <w:pPr>
              <w:pStyle w:val="Tekstpodstawowywcity21"/>
              <w:widowControl w:val="false"/>
              <w:ind w:hanging="0" w:left="0"/>
              <w:rPr/>
            </w:pPr>
            <w:r>
              <w:rPr>
                <w:color w:val="000000"/>
              </w:rPr>
              <w:t>6. Obudowa wandaloodporna (kopułkowa) w odcieniu bieli,</w:t>
            </w:r>
            <w:r>
              <w:rPr>
                <w:color w:val="000000"/>
                <w:szCs w:val="20"/>
              </w:rPr>
              <w:t xml:space="preserve"> </w:t>
            </w:r>
            <w:r>
              <w:rPr>
                <w:color w:val="000000"/>
              </w:rPr>
              <w:t>o zewnętrznej średnicy podstawy  max. 110 mm i całkowitej wysokości obudowy</w:t>
            </w:r>
          </w:p>
          <w:p>
            <w:pPr>
              <w:pStyle w:val="Tekstpodstawowywcity21"/>
              <w:widowControl w:val="false"/>
              <w:ind w:hanging="0" w:left="0"/>
              <w:rPr/>
            </w:pPr>
            <w:r>
              <w:rPr>
                <w:color w:val="000000"/>
              </w:rPr>
              <w:t>max. 59 mm; demontaż klosza i pierścienia zewnętrznego niemożliwy bez użycia narzędzi specjalistycznych.</w:t>
            </w:r>
          </w:p>
          <w:p>
            <w:pPr>
              <w:pStyle w:val="Tekstpodstawowywcity21"/>
              <w:widowControl w:val="false"/>
              <w:ind w:hanging="0" w:left="0"/>
              <w:rPr/>
            </w:pPr>
            <w:r>
              <w:rPr>
                <w:color w:val="000000"/>
              </w:rPr>
              <w:t>Kamera IP obserwująca pole przed autobusem z promiennikiem podczerwieni IR:</w:t>
            </w:r>
          </w:p>
          <w:p>
            <w:pPr>
              <w:pStyle w:val="Tekstpodstawowywcity21"/>
              <w:widowControl w:val="false"/>
              <w:ind w:hanging="0" w:left="0"/>
              <w:rPr/>
            </w:pPr>
            <w:r>
              <w:rPr>
                <w:color w:val="000000"/>
              </w:rPr>
              <w:t>1. Przetwornik – kolorowy;</w:t>
            </w:r>
          </w:p>
          <w:p>
            <w:pPr>
              <w:pStyle w:val="Tekstpodstawowywcity21"/>
              <w:widowControl w:val="false"/>
              <w:ind w:hanging="0" w:left="0"/>
              <w:rPr/>
            </w:pPr>
            <w:r>
              <w:rPr>
                <w:color w:val="000000"/>
              </w:rPr>
              <w:t xml:space="preserve">2. Rozdzielczość min.1280 </w:t>
            </w:r>
            <w:r>
              <w:rPr/>
              <w:t>x 960 pikseli</w:t>
            </w:r>
            <w:r>
              <w:rPr>
                <w:color w:val="000000"/>
              </w:rPr>
              <w:t>;</w:t>
            </w:r>
          </w:p>
          <w:p>
            <w:pPr>
              <w:pStyle w:val="Tekstpodstawowywcity21"/>
              <w:widowControl w:val="false"/>
              <w:ind w:hanging="0" w:left="0"/>
              <w:rPr/>
            </w:pPr>
            <w:r>
              <w:rPr>
                <w:color w:val="000000"/>
              </w:rPr>
              <w:t>3. Czułość nie gorsza niż 0,15 lx COLOR, 0,0 lx B/W IR ON;</w:t>
            </w:r>
          </w:p>
          <w:p>
            <w:pPr>
              <w:pStyle w:val="Normal"/>
              <w:widowControl w:val="false"/>
              <w:jc w:val="both"/>
              <w:rPr/>
            </w:pPr>
            <w:r>
              <w:rPr>
                <w:color w:val="000000"/>
                <w:sz w:val="20"/>
              </w:rPr>
              <w:t xml:space="preserve">4. Kąt widzenia obiektywu  </w:t>
            </w:r>
            <w:r>
              <w:rPr>
                <w:sz w:val="20"/>
              </w:rPr>
              <w:t>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(kopułkowa) w odcieniu bieli,</w:t>
            </w:r>
            <w:r>
              <w:rPr>
                <w:color w:val="000000"/>
                <w:sz w:val="20"/>
                <w:szCs w:val="20"/>
              </w:rPr>
              <w:t xml:space="preserve"> </w:t>
            </w:r>
            <w:r>
              <w:rPr>
                <w:color w:val="000000"/>
                <w:sz w:val="20"/>
              </w:rPr>
              <w:t>o zewnętrznej średnicy podstawy  max. 110 mm i całkowitej wysokości obudowy</w:t>
            </w:r>
          </w:p>
          <w:p>
            <w:pPr>
              <w:pStyle w:val="Normal"/>
              <w:widowControl w:val="false"/>
              <w:jc w:val="both"/>
              <w:rPr/>
            </w:pPr>
            <w:r>
              <w:rPr>
                <w:color w:val="000000"/>
                <w:sz w:val="20"/>
              </w:rPr>
              <w:t>max. 5</w:t>
            </w:r>
            <w:r>
              <w:rPr>
                <w:sz w:val="20"/>
              </w:rPr>
              <w:t>9</w:t>
            </w:r>
            <w:r>
              <w:rPr>
                <w:color w:val="000000"/>
                <w:sz w:val="20"/>
              </w:rPr>
              <w:t xml:space="preserve"> mm; demontaż klosza i pierścienia zewnętrznego niemożliwy bez użycia narzędzi specjalistycznych.</w:t>
            </w:r>
          </w:p>
          <w:p>
            <w:pPr>
              <w:pStyle w:val="Normal"/>
              <w:widowControl w:val="false"/>
              <w:jc w:val="both"/>
              <w:rPr>
                <w:color w:val="000000"/>
                <w:sz w:val="20"/>
              </w:rPr>
            </w:pPr>
            <w:r>
              <w:rPr>
                <w:color w:val="000000"/>
                <w:sz w:val="20"/>
              </w:rPr>
            </w:r>
          </w:p>
          <w:p>
            <w:pPr>
              <w:pStyle w:val="Normal"/>
              <w:widowControl w:val="false"/>
              <w:jc w:val="both"/>
              <w:rPr/>
            </w:pPr>
            <w:r>
              <w:rPr>
                <w:color w:val="000000"/>
                <w:sz w:val="20"/>
              </w:rPr>
              <w:t>Kamera IP cofania:</w:t>
            </w:r>
          </w:p>
          <w:p>
            <w:pPr>
              <w:pStyle w:val="Tekstpodstawowywcity21"/>
              <w:widowControl w:val="false"/>
              <w:ind w:hanging="0" w:left="0"/>
              <w:rPr/>
            </w:pPr>
            <w:r>
              <w:rPr>
                <w:color w:val="000000"/>
              </w:rPr>
              <w:t>1. Przetwornik – kolorowy;</w:t>
            </w:r>
          </w:p>
          <w:p>
            <w:pPr>
              <w:pStyle w:val="Tekstpodstawowywcity21"/>
              <w:widowControl w:val="false"/>
              <w:ind w:hanging="0" w:left="0"/>
              <w:rPr/>
            </w:pPr>
            <w:r>
              <w:rPr>
                <w:color w:val="000000"/>
              </w:rPr>
              <w:t xml:space="preserve">2. Rozdzielczość min. 1280 x </w:t>
            </w:r>
            <w:r>
              <w:rPr/>
              <w:t xml:space="preserve">960 </w:t>
            </w:r>
            <w:r>
              <w:rPr>
                <w:color w:val="000000"/>
              </w:rPr>
              <w:t>pikseli;</w:t>
            </w:r>
          </w:p>
          <w:p>
            <w:pPr>
              <w:pStyle w:val="Tekstpodstawowywcity21"/>
              <w:widowControl w:val="false"/>
              <w:ind w:hanging="0" w:left="0"/>
              <w:rPr/>
            </w:pPr>
            <w:r>
              <w:rPr>
                <w:color w:val="000000"/>
              </w:rPr>
              <w:t>3. Czułość nie gorsza niż 0,08 lx przy F=1,5;</w:t>
            </w:r>
          </w:p>
          <w:p>
            <w:pPr>
              <w:pStyle w:val="Normal"/>
              <w:widowControl w:val="false"/>
              <w:jc w:val="both"/>
              <w:rPr/>
            </w:pPr>
            <w:r>
              <w:rPr>
                <w:color w:val="000000"/>
                <w:sz w:val="20"/>
              </w:rPr>
              <w:t xml:space="preserve">4. Kąt widzenia </w:t>
            </w:r>
            <w:r>
              <w:rPr>
                <w:sz w:val="20"/>
              </w:rPr>
              <w:t>obiektywu  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(kopułkowa) w odcieniu bieli,</w:t>
            </w:r>
            <w:r>
              <w:rPr>
                <w:color w:val="000000"/>
                <w:sz w:val="20"/>
                <w:szCs w:val="20"/>
              </w:rPr>
              <w:t xml:space="preserve"> </w:t>
            </w:r>
            <w:r>
              <w:rPr>
                <w:color w:val="000000"/>
                <w:sz w:val="20"/>
              </w:rPr>
              <w:t>o zewnętrznej średnic</w:t>
            </w:r>
            <w:r>
              <w:rPr>
                <w:sz w:val="20"/>
              </w:rPr>
              <w:t>y podstawy  max. 110 mm i całkowitej wysokości obudowy</w:t>
            </w:r>
          </w:p>
          <w:p>
            <w:pPr>
              <w:pStyle w:val="Normal"/>
              <w:widowControl w:val="false"/>
              <w:jc w:val="both"/>
              <w:rPr/>
            </w:pPr>
            <w:r>
              <w:rPr>
                <w:sz w:val="20"/>
              </w:rPr>
              <w:t>max. 59</w:t>
            </w:r>
            <w:r>
              <w:rPr>
                <w:color w:val="000000"/>
                <w:sz w:val="20"/>
              </w:rPr>
              <w:t xml:space="preserve"> mm; demontaż klosza i pierścienia zewnę</w:t>
            </w:r>
            <w:r>
              <w:rPr>
                <w:sz w:val="20"/>
              </w:rPr>
              <w:t>trznego niemożliwy bez użycia narzędzi specjalistycznych.</w:t>
            </w:r>
          </w:p>
          <w:p>
            <w:pPr>
              <w:pStyle w:val="Normal"/>
              <w:widowControl w:val="false"/>
              <w:jc w:val="both"/>
              <w:rPr>
                <w:sz w:val="20"/>
              </w:rPr>
            </w:pPr>
            <w:r>
              <w:rPr>
                <w:sz w:val="20"/>
              </w:rPr>
            </w:r>
          </w:p>
          <w:p>
            <w:pPr>
              <w:pStyle w:val="Normal"/>
              <w:widowControl w:val="false"/>
              <w:jc w:val="both"/>
              <w:rPr/>
            </w:pPr>
            <w:r>
              <w:rPr>
                <w:color w:val="000000"/>
                <w:sz w:val="20"/>
              </w:rPr>
              <w:t>Kamera IP  z promiennikiem podczerwieni (zewnętrzna, umieszczona na ścianie pojazdu) obserwująca zewnętrzne otoczenie drzwi pojazdu:</w:t>
            </w:r>
          </w:p>
          <w:p>
            <w:pPr>
              <w:pStyle w:val="Normal"/>
              <w:widowControl w:val="false"/>
              <w:jc w:val="both"/>
              <w:rPr/>
            </w:pPr>
            <w:r>
              <w:rPr>
                <w:color w:val="000000"/>
                <w:sz w:val="20"/>
              </w:rPr>
              <w:t>1. Przetwornik – kolorowy;</w:t>
            </w:r>
          </w:p>
          <w:p>
            <w:pPr>
              <w:pStyle w:val="Normal"/>
              <w:widowControl w:val="false"/>
              <w:jc w:val="both"/>
              <w:rPr/>
            </w:pPr>
            <w:r>
              <w:rPr>
                <w:color w:val="000000"/>
                <w:sz w:val="20"/>
              </w:rPr>
              <w:t xml:space="preserve">2. Rozdzielczość min. 1280 x </w:t>
            </w:r>
            <w:r>
              <w:rPr>
                <w:sz w:val="20"/>
              </w:rPr>
              <w:t xml:space="preserve">960 </w:t>
            </w:r>
            <w:r>
              <w:rPr>
                <w:color w:val="000000"/>
                <w:sz w:val="20"/>
              </w:rPr>
              <w:t>pikseli;</w:t>
            </w:r>
          </w:p>
          <w:p>
            <w:pPr>
              <w:pStyle w:val="Normal"/>
              <w:widowControl w:val="false"/>
              <w:jc w:val="both"/>
              <w:rPr/>
            </w:pPr>
            <w:r>
              <w:rPr>
                <w:color w:val="000000"/>
                <w:sz w:val="20"/>
              </w:rPr>
              <w:t>3. Czułość nie gorsza niż 0,01lx przy F=1,2;</w:t>
            </w:r>
          </w:p>
          <w:p>
            <w:pPr>
              <w:pStyle w:val="Normal"/>
              <w:widowControl w:val="false"/>
              <w:jc w:val="both"/>
              <w:rPr/>
            </w:pPr>
            <w:r>
              <w:rPr>
                <w:color w:val="000000"/>
                <w:sz w:val="20"/>
              </w:rPr>
              <w:t xml:space="preserve">4. Kąt widzenia obiektywu  </w:t>
            </w:r>
            <w:r>
              <w:rPr>
                <w:sz w:val="20"/>
              </w:rPr>
              <w:t>min. 90</w:t>
            </w:r>
            <w:r>
              <w:rPr>
                <w:sz w:val="20"/>
                <w:vertAlign w:val="superscript"/>
              </w:rPr>
              <w:t xml:space="preserve">0 </w:t>
            </w:r>
            <w:r>
              <w:rPr>
                <w:color w:val="000000"/>
                <w:sz w:val="20"/>
              </w:rPr>
              <w:t>,</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w kolorze nadwozia,</w:t>
            </w:r>
            <w:r>
              <w:rPr>
                <w:color w:val="000000"/>
                <w:sz w:val="20"/>
                <w:szCs w:val="20"/>
              </w:rPr>
              <w:t xml:space="preserve"> </w:t>
            </w:r>
            <w:r>
              <w:rPr>
                <w:color w:val="000000"/>
                <w:sz w:val="20"/>
              </w:rPr>
              <w:t>o zewnętrznej średnicy podstawy  max. 165 mm i całkowitej wysokości obudowy</w:t>
            </w:r>
          </w:p>
          <w:p>
            <w:pPr>
              <w:pStyle w:val="Normal"/>
              <w:widowControl w:val="false"/>
              <w:jc w:val="both"/>
              <w:rPr/>
            </w:pPr>
            <w:r>
              <w:rPr>
                <w:color w:val="000000"/>
                <w:sz w:val="20"/>
              </w:rPr>
              <w:t>max. 65 mm; demontaż klosza zewnętrznego niemożliwy bez użycia narzędzi specjalistycznych.</w:t>
            </w:r>
          </w:p>
          <w:p>
            <w:pPr>
              <w:pStyle w:val="Normal"/>
              <w:widowControl w:val="false"/>
              <w:jc w:val="both"/>
              <w:rPr>
                <w:sz w:val="20"/>
              </w:rPr>
            </w:pPr>
            <w:r>
              <w:rPr>
                <w:sz w:val="20"/>
              </w:rPr>
              <w:t>Zamawiający dopuszcza również zastosowanie obudowy kamer zewnętrznych w kolorze czarnym.</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tabs>
                <w:tab w:val="clear" w:pos="709"/>
                <w:tab w:val="left" w:pos="1290" w:leader="none"/>
              </w:tabs>
              <w:snapToGrid w:val="false"/>
              <w:rPr/>
            </w:pPr>
            <w:r>
              <w:rPr/>
            </w:r>
          </w:p>
        </w:tc>
      </w:tr>
      <w:tr>
        <w:trPr>
          <w:trHeight w:val="1053" w:hRule="atLeast"/>
        </w:trPr>
        <w:tc>
          <w:tcPr>
            <w:tcW w:w="1829"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3.</w:t>
            </w:r>
          </w:p>
          <w:p>
            <w:pPr>
              <w:pStyle w:val="Normal"/>
              <w:widowControl w:val="false"/>
              <w:rPr/>
            </w:pPr>
            <w:r>
              <w:rPr>
                <w:b/>
                <w:bCs/>
                <w:sz w:val="20"/>
              </w:rPr>
              <w:t>Mikrofon</w:t>
            </w:r>
          </w:p>
        </w:tc>
        <w:tc>
          <w:tcPr>
            <w:tcW w:w="6519" w:type="dxa"/>
            <w:tcBorders>
              <w:top w:val="single" w:sz="4" w:space="0" w:color="000000"/>
              <w:left w:val="single" w:sz="4" w:space="0" w:color="000000"/>
              <w:bottom w:val="single" w:sz="4" w:space="0" w:color="000000"/>
            </w:tcBorders>
            <w:shd w:color="auto" w:fill="auto" w:val="clear"/>
            <w:vAlign w:val="center"/>
          </w:tcPr>
          <w:p>
            <w:pPr>
              <w:pStyle w:val="Tekstpodstawowywcity21"/>
              <w:widowControl w:val="false"/>
              <w:ind w:hanging="0" w:left="0"/>
              <w:rPr/>
            </w:pPr>
            <w:r>
              <w:rPr/>
              <w:t xml:space="preserve">Mikrofon przystosowany do współpracy z oferowanym rejestratorem </w:t>
              <w:br/>
              <w:t>i o parametrach:</w:t>
            </w:r>
          </w:p>
          <w:p>
            <w:pPr>
              <w:pStyle w:val="Tekstpodstawowywcity21"/>
              <w:widowControl w:val="false"/>
              <w:numPr>
                <w:ilvl w:val="0"/>
                <w:numId w:val="5"/>
              </w:numPr>
              <w:tabs>
                <w:tab w:val="clear" w:pos="709"/>
                <w:tab w:val="left" w:pos="900" w:leader="none"/>
              </w:tabs>
              <w:ind w:hanging="218" w:left="313"/>
              <w:rPr/>
            </w:pPr>
            <w:r>
              <w:rPr/>
              <w:t>pasmo:</w:t>
              <w:tab/>
              <w:t>(0,2- 10) kHz,</w:t>
            </w:r>
          </w:p>
          <w:p>
            <w:pPr>
              <w:pStyle w:val="Tekstpodstawowywcity21"/>
              <w:widowControl w:val="false"/>
              <w:numPr>
                <w:ilvl w:val="0"/>
                <w:numId w:val="5"/>
              </w:numPr>
              <w:tabs>
                <w:tab w:val="clear" w:pos="709"/>
                <w:tab w:val="left" w:pos="900" w:leader="none"/>
              </w:tabs>
              <w:ind w:hanging="218" w:left="313"/>
              <w:rPr/>
            </w:pPr>
            <w:r>
              <w:rPr/>
              <w:t>wzmocnienie sygnału regulowane.</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20"/>
              </w:rPr>
            </w:pPr>
            <w:r>
              <w:rPr>
                <w:sz w:val="20"/>
              </w:rPr>
            </w:r>
          </w:p>
        </w:tc>
      </w:tr>
      <w:tr>
        <w:trPr>
          <w:trHeight w:val="676" w:hRule="atLeast"/>
        </w:trPr>
        <w:tc>
          <w:tcPr>
            <w:tcW w:w="1829"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pPr>
            <w:r>
              <w:rPr>
                <w:b/>
                <w:sz w:val="20"/>
              </w:rPr>
              <w:t>4.</w:t>
            </w:r>
          </w:p>
          <w:p>
            <w:pPr>
              <w:pStyle w:val="Normal"/>
              <w:widowControl w:val="false"/>
              <w:rPr/>
            </w:pPr>
            <w:r>
              <w:rPr>
                <w:b/>
                <w:sz w:val="20"/>
              </w:rPr>
              <w:t>Monitor</w:t>
            </w:r>
          </w:p>
        </w:tc>
        <w:tc>
          <w:tcPr>
            <w:tcW w:w="651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both"/>
              <w:rPr/>
            </w:pPr>
            <w:r>
              <w:rPr>
                <w:sz w:val="20"/>
              </w:rPr>
              <w:t>Kolorowy LCD o przekątnej min. 8” i obrazie w proporcji 4:3 lub 16:9 przystosowany do współpracy  z oferowanym rejestratorem.</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rPr>
            </w:pPr>
            <w:r>
              <w:rPr>
                <w:sz w:val="20"/>
              </w:rPr>
            </w:r>
          </w:p>
        </w:tc>
      </w:tr>
      <w:tr>
        <w:trPr>
          <w:trHeight w:val="7504" w:hRule="atLeast"/>
        </w:trPr>
        <w:tc>
          <w:tcPr>
            <w:tcW w:w="1829"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5.</w:t>
            </w:r>
          </w:p>
          <w:p>
            <w:pPr>
              <w:pStyle w:val="Normal"/>
              <w:widowControl w:val="false"/>
              <w:rPr/>
            </w:pPr>
            <w:r>
              <w:rPr>
                <w:b/>
                <w:bCs/>
                <w:sz w:val="20"/>
              </w:rPr>
              <w:t>Wymagania dodatkowe</w:t>
            </w:r>
          </w:p>
        </w:tc>
        <w:tc>
          <w:tcPr>
            <w:tcW w:w="6519"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4"/>
              </w:numPr>
              <w:tabs>
                <w:tab w:val="clear" w:pos="709"/>
              </w:tabs>
              <w:ind w:hanging="284" w:left="313"/>
              <w:jc w:val="both"/>
              <w:rPr/>
            </w:pPr>
            <w:r>
              <w:rPr>
                <w:sz w:val="20"/>
              </w:rPr>
              <w:t>Wszystkie urządzenia muszą być przystosowane do eksploatacji w autobusach, spełniając wymagania w zakresie odporności na drgania, przepięcia, wahania temperatury, wahania napięć zasilających.</w:t>
            </w:r>
          </w:p>
          <w:p>
            <w:pPr>
              <w:pStyle w:val="Normal"/>
              <w:widowControl w:val="false"/>
              <w:numPr>
                <w:ilvl w:val="0"/>
                <w:numId w:val="4"/>
              </w:numPr>
              <w:tabs>
                <w:tab w:val="clear" w:pos="709"/>
              </w:tabs>
              <w:ind w:hanging="284" w:left="313"/>
              <w:jc w:val="both"/>
              <w:rPr/>
            </w:pPr>
            <w:r>
              <w:rPr>
                <w:sz w:val="20"/>
              </w:rPr>
              <w:t>Wraz z dostawą pierwszego autobusu Wykonawca musi dostarczyć:</w:t>
            </w:r>
          </w:p>
          <w:p>
            <w:pPr>
              <w:pStyle w:val="ListParagraph"/>
              <w:widowControl w:val="false"/>
              <w:numPr>
                <w:ilvl w:val="0"/>
                <w:numId w:val="7"/>
              </w:numPr>
              <w:ind w:hanging="284" w:left="596"/>
              <w:jc w:val="both"/>
              <w:rPr/>
            </w:pPr>
            <w:r>
              <w:rPr>
                <w:sz w:val="20"/>
              </w:rPr>
              <w:t xml:space="preserve">(jeżeli oferowany typ systemu monitoringu nie jest eksploatowany przez Zamawiającego) dwa zestawy (przystawka/adaptor) wraz z niezbędnym oprogramowaniem z nieograniczoną w czasie licencją dedykowane do przeglądania, analizy i archiwizacji wybranego przedziału zarejestrowanego materiału na komputerze PC po złączu USB 2.0/Ethernet. Wykonawca dostarczy dodatkową, dedykowaną aplikację, jeżeli system </w:t>
            </w:r>
            <w:r>
              <w:rPr>
                <w:color w:val="000000"/>
                <w:sz w:val="20"/>
              </w:rPr>
              <w:t>wymaga konfiguracji z jej wykorzystaniem,</w:t>
            </w:r>
          </w:p>
          <w:p>
            <w:pPr>
              <w:pStyle w:val="ListParagraph"/>
              <w:widowControl w:val="false"/>
              <w:numPr>
                <w:ilvl w:val="0"/>
                <w:numId w:val="7"/>
              </w:numPr>
              <w:ind w:hanging="284" w:left="596"/>
              <w:jc w:val="both"/>
              <w:rPr/>
            </w:pPr>
            <w:r>
              <w:rPr>
                <w:color w:val="000000"/>
                <w:sz w:val="20"/>
              </w:rPr>
              <w:t>(jeżeli oferowany typ systemu monitoringu nie jest eksploatowany przez Zamawiającego) wykonawca dostarczy i zainstaluje niezbędne oprogramowanie serwerowe (aplikacyjne i systemowe) w środowisku informatycznym Zamawiającego dla realizacji monitoringu online wraz z dostawą niezbędnych licencji nieograniczonych w czasie i na nielimitowaną liczbę stanowisk,</w:t>
            </w:r>
          </w:p>
          <w:p>
            <w:pPr>
              <w:pStyle w:val="Tekstpodstawowywcity31"/>
              <w:widowControl w:val="false"/>
              <w:numPr>
                <w:ilvl w:val="0"/>
                <w:numId w:val="7"/>
              </w:numPr>
              <w:spacing w:lineRule="auto" w:line="240"/>
              <w:ind w:hanging="284" w:left="596"/>
              <w:rPr/>
            </w:pPr>
            <w:r>
              <w:rPr>
                <w:color w:val="000000"/>
                <w:sz w:val="20"/>
              </w:rPr>
              <w:t>instrukcję obsługi rejestratora (z opisem konfiguracji funkcji online) i programu do przeglądania, analizy i archiwizacji nagrań  - w j</w:t>
            </w:r>
            <w:r>
              <w:rPr>
                <w:sz w:val="20"/>
              </w:rPr>
              <w:t>ęzyku polskim.</w:t>
            </w:r>
          </w:p>
          <w:p>
            <w:pPr>
              <w:pStyle w:val="ListParagraph"/>
              <w:widowControl w:val="false"/>
              <w:numPr>
                <w:ilvl w:val="0"/>
                <w:numId w:val="4"/>
              </w:numPr>
              <w:tabs>
                <w:tab w:val="clear" w:pos="709"/>
              </w:tabs>
              <w:ind w:hanging="284" w:left="313"/>
              <w:jc w:val="both"/>
              <w:rPr/>
            </w:pPr>
            <w:r>
              <w:rPr>
                <w:sz w:val="20"/>
              </w:rPr>
              <w:t xml:space="preserve">Minimalny zakres wartości granicznych temperatury pracy urządzeń: </w:t>
              <w:br/>
              <w:t xml:space="preserve">(-10 do + 40) </w:t>
            </w:r>
            <w:r>
              <w:rPr>
                <w:sz w:val="20"/>
                <w:vertAlign w:val="superscript"/>
              </w:rPr>
              <w:t>0</w:t>
            </w:r>
            <w:r>
              <w:rPr>
                <w:sz w:val="20"/>
              </w:rPr>
              <w:t>C.</w:t>
            </w:r>
          </w:p>
          <w:p>
            <w:pPr>
              <w:pStyle w:val="ListParagraph"/>
              <w:widowControl w:val="false"/>
              <w:numPr>
                <w:ilvl w:val="0"/>
                <w:numId w:val="4"/>
              </w:numPr>
              <w:tabs>
                <w:tab w:val="clear" w:pos="709"/>
              </w:tabs>
              <w:ind w:hanging="284" w:left="313"/>
              <w:jc w:val="both"/>
              <w:rPr/>
            </w:pPr>
            <w:r>
              <w:rPr>
                <w:sz w:val="20"/>
              </w:rPr>
              <w:t>Minimalny zakres wartości granicznych napięcia zasilania:  18 – 36V DC;</w:t>
            </w:r>
          </w:p>
          <w:p>
            <w:pPr>
              <w:pStyle w:val="ListParagraph"/>
              <w:widowControl w:val="false"/>
              <w:numPr>
                <w:ilvl w:val="0"/>
                <w:numId w:val="4"/>
              </w:numPr>
              <w:tabs>
                <w:tab w:val="clear" w:pos="709"/>
              </w:tabs>
              <w:ind w:hanging="284" w:left="313"/>
              <w:jc w:val="both"/>
              <w:rPr/>
            </w:pPr>
            <w:r>
              <w:rPr>
                <w:sz w:val="20"/>
              </w:rPr>
              <w:t xml:space="preserve">Wykonawca dostarczy oryginały kart katalogowych urządzeń systemu </w:t>
              <w:br/>
              <w:t>oraz ich tłumaczenia.</w:t>
            </w:r>
          </w:p>
          <w:p>
            <w:pPr>
              <w:pStyle w:val="ListParagraph"/>
              <w:widowControl w:val="false"/>
              <w:numPr>
                <w:ilvl w:val="0"/>
                <w:numId w:val="4"/>
              </w:numPr>
              <w:tabs>
                <w:tab w:val="clear" w:pos="709"/>
              </w:tabs>
              <w:ind w:hanging="284" w:left="313"/>
              <w:jc w:val="both"/>
              <w:rPr/>
            </w:pPr>
            <w:r>
              <w:rPr>
                <w:sz w:val="20"/>
              </w:rPr>
              <w:t>Wykonawca zapewnia możliwość napraw i dostępu do nowych wersji dostarczonego oprogramowania przez min. 36 miesięcy po upływie okresu gwarancyjnego.</w:t>
            </w:r>
          </w:p>
        </w:tc>
        <w:tc>
          <w:tcPr>
            <w:tcW w:w="6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tc>
      </w:tr>
    </w:tbl>
    <w:p>
      <w:pPr>
        <w:pStyle w:val="Normal"/>
        <w:rPr>
          <w:sz w:val="16"/>
          <w:szCs w:val="16"/>
        </w:rPr>
      </w:pPr>
      <w:r>
        <w:rPr>
          <w:sz w:val="16"/>
          <w:szCs w:val="16"/>
        </w:rPr>
      </w:r>
    </w:p>
    <w:p>
      <w:pPr>
        <w:pStyle w:val="Normal"/>
        <w:ind w:firstLine="708"/>
        <w:rPr>
          <w:sz w:val="16"/>
          <w:szCs w:val="16"/>
          <w:u w:val="single"/>
        </w:rPr>
      </w:pPr>
      <w:r>
        <w:rPr>
          <w:sz w:val="16"/>
          <w:szCs w:val="16"/>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rPr>
          <w:sz w:val="22"/>
        </w:rPr>
      </w:pPr>
      <w:r>
        <w:rPr>
          <w:sz w:val="22"/>
          <w:u w:val="single"/>
        </w:rPr>
        <w:t xml:space="preserve">Montaż kamer: </w:t>
      </w:r>
    </w:p>
    <w:p>
      <w:pPr>
        <w:pStyle w:val="Normal"/>
        <w:rPr>
          <w:sz w:val="22"/>
        </w:rPr>
      </w:pPr>
      <w:r>
        <w:rPr>
          <w:sz w:val="22"/>
        </w:rPr>
        <w:t>K1 – do poziomej części obudowy przestrzeni tablicy przedniej, w połowie szerokości prawej szyby przed kierowcą,</w:t>
      </w:r>
    </w:p>
    <w:p>
      <w:pPr>
        <w:pStyle w:val="Normal"/>
        <w:rPr>
          <w:sz w:val="22"/>
        </w:rPr>
      </w:pPr>
      <w:r>
        <w:rPr>
          <w:sz w:val="22"/>
        </w:rPr>
        <w:t xml:space="preserve">K2, K3, K4 , K5 – w / na pokrywach bocznych, techniczno-obsługowych lub w płytach sufitowych, </w:t>
        <w:br/>
        <w:t>K2 z ominięciem lusterek itp.,</w:t>
      </w:r>
    </w:p>
    <w:p>
      <w:pPr>
        <w:pStyle w:val="Normal"/>
        <w:rPr>
          <w:sz w:val="22"/>
        </w:rPr>
      </w:pPr>
      <w:r>
        <w:rPr>
          <w:sz w:val="22"/>
        </w:rPr>
        <w:t>K6 (R) – wewnątrz pojazdu, za tylnym oknem, do jego górnej, poziomej części obudow</w:t>
      </w:r>
      <w:r>
        <w:rPr>
          <w:color w:val="000000"/>
          <w:sz w:val="22"/>
        </w:rPr>
        <w:t>y, zabudowana osłoną eliminującą odbicia wnętrza pojazdu w wycinku tylnego okna będącego w polu obserwacji kamery,</w:t>
      </w:r>
    </w:p>
    <w:p>
      <w:pPr>
        <w:pStyle w:val="Normal"/>
        <w:rPr>
          <w:sz w:val="22"/>
        </w:rPr>
      </w:pPr>
      <w:r>
        <w:rPr>
          <w:color w:val="000000"/>
          <w:sz w:val="22"/>
        </w:rPr>
        <w:t>Kz1 (zewnętrzna) -  do  ściany bocznej, obok nasady prawego, zewnętrznego lustra wstecznego,</w:t>
      </w:r>
    </w:p>
    <w:p>
      <w:pPr>
        <w:pStyle w:val="Normal"/>
        <w:rPr>
          <w:sz w:val="22"/>
        </w:rPr>
      </w:pPr>
      <w:r>
        <w:rPr>
          <w:color w:val="000000"/>
          <w:sz w:val="22"/>
        </w:rPr>
        <w:t>Kz2 (zewnętrzna) – do górnej części ściany bocznej II członu pojazdu, przed III drzwiami;</w:t>
      </w:r>
    </w:p>
    <w:p>
      <w:pPr>
        <w:pStyle w:val="Normal"/>
        <w:rPr>
          <w:color w:val="000000"/>
          <w:sz w:val="22"/>
        </w:rPr>
      </w:pPr>
      <w:r>
        <w:rPr>
          <w:color w:val="000000"/>
          <w:sz w:val="22"/>
        </w:rPr>
      </w:r>
    </w:p>
    <w:p>
      <w:pPr>
        <w:pStyle w:val="Normal"/>
        <w:rPr>
          <w:sz w:val="22"/>
          <w:u w:val="single"/>
        </w:rPr>
      </w:pPr>
      <w:r>
        <w:rPr>
          <w:sz w:val="22"/>
          <w:u w:val="single"/>
        </w:rPr>
        <w:t>Lokalizacja miejsc montażu kamer:</w:t>
      </w:r>
    </w:p>
    <w:p>
      <w:pPr>
        <w:pStyle w:val="Normal"/>
        <w:rPr/>
      </w:pPr>
      <w:r>
        <w:rPr/>
        <mc:AlternateContent>
          <mc:Choice Requires="wpg">
            <w:drawing>
              <wp:anchor behindDoc="0" distT="0" distB="0" distL="0" distR="0" simplePos="0" locked="0" layoutInCell="1" allowOverlap="1" relativeHeight="4">
                <wp:simplePos x="0" y="0"/>
                <wp:positionH relativeFrom="column">
                  <wp:posOffset>209550</wp:posOffset>
                </wp:positionH>
                <wp:positionV relativeFrom="paragraph">
                  <wp:posOffset>62230</wp:posOffset>
                </wp:positionV>
                <wp:extent cx="8148320" cy="1976120"/>
                <wp:effectExtent l="0" t="0" r="0" b="0"/>
                <wp:wrapNone/>
                <wp:docPr id="1" name="Grupa 31"/>
                <a:graphic xmlns:a="http://schemas.openxmlformats.org/drawingml/2006/main">
                  <a:graphicData uri="http://schemas.microsoft.com/office/word/2010/wordprocessingGroup">
                    <wpg:wgp>
                      <wpg:cNvGrpSpPr/>
                      <wpg:grpSpPr>
                        <a:xfrm>
                          <a:off x="0" y="0"/>
                          <a:ext cx="8148240" cy="1976040"/>
                          <a:chOff x="0" y="0"/>
                          <a:chExt cx="8148240" cy="1976040"/>
                        </a:xfrm>
                      </wpg:grpSpPr>
                      <pic:pic xmlns:pic="http://schemas.openxmlformats.org/drawingml/2006/picture">
                        <pic:nvPicPr>
                          <pic:cNvPr id="2" name="Obraz 19" descr=""/>
                          <pic:cNvPicPr/>
                        </pic:nvPicPr>
                        <pic:blipFill>
                          <a:blip r:embed="rId2"/>
                          <a:stretch/>
                        </pic:blipFill>
                        <pic:spPr>
                          <a:xfrm>
                            <a:off x="0" y="57240"/>
                            <a:ext cx="8148240" cy="1918800"/>
                          </a:xfrm>
                          <a:prstGeom prst="rect">
                            <a:avLst/>
                          </a:prstGeom>
                          <a:ln w="0">
                            <a:noFill/>
                          </a:ln>
                        </pic:spPr>
                      </pic:pic>
                      <wpg:grpSp>
                        <wpg:cNvGrpSpPr/>
                        <wpg:grpSpPr>
                          <a:xfrm>
                            <a:off x="181080" y="9360"/>
                            <a:ext cx="3276720" cy="348480"/>
                          </a:xfrm>
                        </wpg:grpSpPr>
                        <wpg:grpSp>
                          <wpg:cNvGrpSpPr/>
                          <wpg:grpSpPr>
                            <a:xfrm>
                              <a:off x="304560" y="38160"/>
                              <a:ext cx="2971800" cy="310680"/>
                            </a:xfrm>
                          </wpg:grpSpPr>
                          <wps:wsp>
                            <wps:cNvPr id="3" name=""/>
                            <wps:cNvSpPr/>
                            <wps:spPr>
                              <a:xfrm>
                                <a:off x="0" y="214200"/>
                                <a:ext cx="96480" cy="96480"/>
                              </a:xfrm>
                              <a:prstGeom prst="ellipse">
                                <a:avLst/>
                              </a:prstGeom>
                              <a:solidFill>
                                <a:srgbClr val="ed1c24"/>
                              </a:solidFill>
                              <a:ln w="9360">
                                <a:solidFill>
                                  <a:srgbClr val="3465a4"/>
                                </a:solidFill>
                                <a:round/>
                              </a:ln>
                            </wps:spPr>
                            <wps:style>
                              <a:lnRef idx="0"/>
                              <a:fillRef idx="0"/>
                              <a:effectRef idx="0"/>
                              <a:fontRef idx="minor"/>
                            </wps:style>
                            <wps:bodyPr/>
                          </wps:wsp>
                          <wps:wsp>
                            <wps:cNvSpPr/>
                            <wps:spPr>
                              <a:xfrm flipV="1">
                                <a:off x="57240" y="0"/>
                                <a:ext cx="2914560" cy="216360"/>
                              </a:xfrm>
                              <a:prstGeom prst="line">
                                <a:avLst/>
                              </a:prstGeom>
                              <a:ln w="9360">
                                <a:solidFill>
                                  <a:srgbClr val="ed1c24"/>
                                </a:solidFill>
                                <a:round/>
                              </a:ln>
                            </wps:spPr>
                            <wps:style>
                              <a:lnRef idx="0"/>
                              <a:fillRef idx="0"/>
                              <a:effectRef idx="0"/>
                              <a:fontRef idx="minor"/>
                            </wps:style>
                            <wps:bodyPr/>
                          </wps:wsp>
                          <wps:wsp>
                            <wps:cNvSpPr/>
                            <wps:spPr>
                              <a:xfrm>
                                <a:off x="57240" y="309240"/>
                                <a:ext cx="2914560" cy="0"/>
                              </a:xfrm>
                              <a:prstGeom prst="line">
                                <a:avLst/>
                              </a:prstGeom>
                              <a:ln w="9360">
                                <a:solidFill>
                                  <a:srgbClr val="ed1c24"/>
                                </a:solidFill>
                                <a:round/>
                              </a:ln>
                            </wps:spPr>
                            <wps:style>
                              <a:lnRef idx="0"/>
                              <a:fillRef idx="0"/>
                              <a:effectRef idx="0"/>
                              <a:fontRef idx="minor"/>
                            </wps:style>
                            <wps:bodyPr/>
                          </wps:wsp>
                        </wpg:grpSp>
                        <wps:wsp>
                          <wps:cNvPr id="4" name=""/>
                          <wps:cNvSpPr/>
                          <wps:spPr>
                            <a:xfrm>
                              <a:off x="0" y="0"/>
                              <a:ext cx="594360" cy="337320"/>
                            </a:xfrm>
                            <a:prstGeom prst="rect">
                              <a:avLst/>
                            </a:prstGeom>
                            <a:noFill/>
                            <a:ln w="6350">
                              <a:noFill/>
                            </a:ln>
                          </wps:spPr>
                          <wps:style>
                            <a:lnRef idx="0"/>
                            <a:fillRef idx="0"/>
                            <a:effectRef idx="0"/>
                            <a:fontRef idx="minor"/>
                          </wps:style>
                          <wps:txbx>
                            <w:txbxContent>
                              <w:p>
                                <w:pPr>
                                  <w:pStyle w:val="Normal"/>
                                  <w:overflowPunct w:val="true"/>
                                  <w:spacing w:lineRule="auto" w:line="240" w:before="0" w:after="0"/>
                                  <w:jc w:val="left"/>
                                  <w:rPr/>
                                </w:pPr>
                                <w:r>
                                  <w:rPr>
                                    <w:rFonts w:cs="Arial" w:ascii="Arial" w:hAnsi="Arial"/>
                                    <w:b/>
                                    <w:bCs/>
                                    <w:i w:val="false"/>
                                    <w:iCs w:val="false"/>
                                    <w:caps w:val="false"/>
                                    <w:smallCaps w:val="false"/>
                                    <w:strike w:val="false"/>
                                    <w:dstrike w:val="false"/>
                                    <w:color w:val="000000"/>
                                    <w:spacing w:val="0"/>
                                    <w:position w:val="0"/>
                                    <w:sz w:val="28"/>
                                    <w:sz w:val="28"/>
                                    <w:szCs w:val="28"/>
                                    <w:u w:val="none"/>
                                    <w:vertAlign w:val="baseline"/>
                                    <w:lang w:eastAsia="pl-PL"/>
                                  </w:rPr>
                                  <w:t>Kz1</w:t>
                                </w:r>
                              </w:p>
                            </w:txbxContent>
                          </wps:txbx>
                          <wps:bodyPr lIns="0" rIns="0" tIns="0" bIns="0" anchor="t">
                            <a:noAutofit/>
                          </wps:bodyPr>
                        </wps:wsp>
                      </wpg:grpSp>
                      <wpg:grpSp>
                        <wpg:cNvGrpSpPr/>
                        <wpg:grpSpPr>
                          <a:xfrm>
                            <a:off x="4667760" y="0"/>
                            <a:ext cx="3276720" cy="348480"/>
                          </a:xfrm>
                        </wpg:grpSpPr>
                        <wpg:grpSp>
                          <wpg:cNvGrpSpPr/>
                          <wpg:grpSpPr>
                            <a:xfrm>
                              <a:off x="304920" y="38160"/>
                              <a:ext cx="2971800" cy="310680"/>
                            </a:xfrm>
                          </wpg:grpSpPr>
                          <wps:wsp>
                            <wps:cNvPr id="5" name=""/>
                            <wps:cNvSpPr/>
                            <wps:spPr>
                              <a:xfrm>
                                <a:off x="0" y="213840"/>
                                <a:ext cx="96480" cy="96480"/>
                              </a:xfrm>
                              <a:prstGeom prst="ellipse">
                                <a:avLst/>
                              </a:prstGeom>
                              <a:solidFill>
                                <a:srgbClr val="ed1c24"/>
                              </a:solidFill>
                              <a:ln w="9360">
                                <a:solidFill>
                                  <a:srgbClr val="3465a4"/>
                                </a:solidFill>
                                <a:round/>
                              </a:ln>
                            </wps:spPr>
                            <wps:style>
                              <a:lnRef idx="0"/>
                              <a:fillRef idx="0"/>
                              <a:effectRef idx="0"/>
                              <a:fontRef idx="minor"/>
                            </wps:style>
                            <wps:bodyPr/>
                          </wps:wsp>
                          <wps:wsp>
                            <wps:cNvSpPr/>
                            <wps:spPr>
                              <a:xfrm flipV="1">
                                <a:off x="57240" y="0"/>
                                <a:ext cx="2914560" cy="216000"/>
                              </a:xfrm>
                              <a:prstGeom prst="line">
                                <a:avLst/>
                              </a:prstGeom>
                              <a:ln w="9360">
                                <a:solidFill>
                                  <a:srgbClr val="ed1c24"/>
                                </a:solidFill>
                                <a:round/>
                              </a:ln>
                            </wps:spPr>
                            <wps:style>
                              <a:lnRef idx="0"/>
                              <a:fillRef idx="0"/>
                              <a:effectRef idx="0"/>
                              <a:fontRef idx="minor"/>
                            </wps:style>
                            <wps:bodyPr/>
                          </wps:wsp>
                          <wps:wsp>
                            <wps:cNvSpPr/>
                            <wps:spPr>
                              <a:xfrm>
                                <a:off x="57240" y="309240"/>
                                <a:ext cx="2914560" cy="720"/>
                              </a:xfrm>
                              <a:prstGeom prst="line">
                                <a:avLst/>
                              </a:prstGeom>
                              <a:ln w="9360">
                                <a:solidFill>
                                  <a:srgbClr val="ed1c24"/>
                                </a:solidFill>
                                <a:round/>
                              </a:ln>
                            </wps:spPr>
                            <wps:style>
                              <a:lnRef idx="0"/>
                              <a:fillRef idx="0"/>
                              <a:effectRef idx="0"/>
                              <a:fontRef idx="minor"/>
                            </wps:style>
                            <wps:bodyPr/>
                          </wps:wsp>
                        </wpg:grpSp>
                        <wps:wsp>
                          <wps:cNvPr id="6" name=""/>
                          <wps:cNvSpPr/>
                          <wps:spPr>
                            <a:xfrm>
                              <a:off x="0" y="0"/>
                              <a:ext cx="594360" cy="337320"/>
                            </a:xfrm>
                            <a:prstGeom prst="rect">
                              <a:avLst/>
                            </a:prstGeom>
                            <a:noFill/>
                            <a:ln w="6350">
                              <a:noFill/>
                            </a:ln>
                          </wps:spPr>
                          <wps:style>
                            <a:lnRef idx="0"/>
                            <a:fillRef idx="0"/>
                            <a:effectRef idx="0"/>
                            <a:fontRef idx="minor"/>
                          </wps:style>
                          <wps:txbx>
                            <w:txbxContent>
                              <w:p>
                                <w:pPr>
                                  <w:pStyle w:val="Normal"/>
                                  <w:overflowPunct w:val="true"/>
                                  <w:spacing w:lineRule="auto" w:line="240" w:before="0" w:after="0"/>
                                  <w:jc w:val="left"/>
                                  <w:rPr/>
                                </w:pPr>
                                <w:r>
                                  <w:rPr>
                                    <w:rFonts w:cs="Arial" w:ascii="Arial" w:hAnsi="Arial"/>
                                    <w:b/>
                                    <w:bCs/>
                                    <w:i w:val="false"/>
                                    <w:iCs w:val="false"/>
                                    <w:caps w:val="false"/>
                                    <w:smallCaps w:val="false"/>
                                    <w:strike w:val="false"/>
                                    <w:dstrike w:val="false"/>
                                    <w:color w:val="000000"/>
                                    <w:spacing w:val="0"/>
                                    <w:position w:val="0"/>
                                    <w:sz w:val="28"/>
                                    <w:sz w:val="28"/>
                                    <w:szCs w:val="28"/>
                                    <w:u w:val="none"/>
                                    <w:vertAlign w:val="baseline"/>
                                    <w:lang w:eastAsia="pl-PL"/>
                                  </w:rPr>
                                  <w:t>Kz2</w:t>
                                </w:r>
                              </w:p>
                            </w:txbxContent>
                          </wps:txbx>
                          <wps:bodyPr lIns="0" rIns="0" tIns="0" bIns="0" anchor="t">
                            <a:noAutofit/>
                          </wps:bodyPr>
                        </wps:wsp>
                      </wpg:grpSp>
                    </wpg:wgp>
                  </a:graphicData>
                </a:graphic>
              </wp:anchor>
            </w:drawing>
          </mc:Choice>
          <mc:Fallback>
            <w:pict>
              <v:group id="shape_0" alt="Grupa 31" style="position:absolute;margin-left:16.5pt;margin-top:4.9pt;width:641.6pt;height:155.6pt" coordorigin="330,98" coordsize="12832,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19" stroked="f" o:allowincell="f" style="position:absolute;left:330;top:188;width:12831;height:3021;mso-wrap-style:none;v-text-anchor:middle" type="_x0000_t75">
                  <v:imagedata r:id="rId3" o:detectmouseclick="t"/>
                  <v:stroke color="#3465a4" joinstyle="round" endcap="flat"/>
                  <w10:wrap type="none"/>
                </v:shape>
                <v:group id="shape_0" style="position:absolute;left:615;top:113;width:5159;height:549">
                  <v:group id="shape_0" style="position:absolute;left:1095;top:173;width:4679;height:489">
                    <v:oval id="shape_0" path="l-2147483648,-2147483643l-2147483628,-2147483627l-2147483648,-2147483643l-2147483626,-2147483625xe" fillcolor="#ed1c24" stroked="t" o:allowincell="f" style="position:absolute;left:1095;top:510;width:151;height:151;mso-wrap-style:none;v-text-anchor:middle">
                      <v:fill o:detectmouseclick="t" type="solid" color2="#12e3db"/>
                      <v:stroke color="#3465a4" weight="9360" joinstyle="round" endcap="flat"/>
                      <w10:wrap type="none"/>
                    </v:oval>
                    <v:line id="shape_0" from="1185,173" to="5774,513" stroked="t" o:allowincell="f" style="position:absolute;flip:y">
                      <v:stroke color="#ed1c24" weight="9360" joinstyle="round" endcap="flat"/>
                      <v:fill o:detectmouseclick="t" on="false"/>
                      <w10:wrap type="none"/>
                    </v:line>
                    <v:line id="shape_0" from="1185,660" to="5774,660" stroked="t" o:allowincell="f" style="position:absolute">
                      <v:stroke color="#ed1c24" weight="9360" joinstyle="round" endcap="flat"/>
                      <v:fill o:detectmouseclick="t" on="false"/>
                      <w10:wrap type="none"/>
                    </v:line>
                  </v:group>
                  <v:rect id="shape_0" path="m0,0l-2147483645,0l-2147483645,-2147483646l0,-2147483646xe" stroked="f" o:allowincell="f" style="position:absolute;left:615;top:113;width:935;height:530;mso-wrap-style:square;v-text-anchor:top">
                    <v:fill o:detectmouseclick="t" on="false"/>
                    <v:stroke color="#3465a4" weight="6480" joinstyle="round" endcap="flat"/>
                    <v:textbox>
                      <w:txbxContent>
                        <w:p>
                          <w:pPr>
                            <w:pStyle w:val="Normal"/>
                            <w:overflowPunct w:val="true"/>
                            <w:spacing w:lineRule="auto" w:line="240" w:before="0" w:after="0"/>
                            <w:jc w:val="left"/>
                            <w:rPr/>
                          </w:pPr>
                          <w:r>
                            <w:rPr>
                              <w:rFonts w:cs="Arial" w:ascii="Arial" w:hAnsi="Arial"/>
                              <w:b/>
                              <w:bCs/>
                              <w:i w:val="false"/>
                              <w:iCs w:val="false"/>
                              <w:caps w:val="false"/>
                              <w:smallCaps w:val="false"/>
                              <w:strike w:val="false"/>
                              <w:dstrike w:val="false"/>
                              <w:color w:val="000000"/>
                              <w:spacing w:val="0"/>
                              <w:position w:val="0"/>
                              <w:sz w:val="28"/>
                              <w:sz w:val="28"/>
                              <w:szCs w:val="28"/>
                              <w:u w:val="none"/>
                              <w:vertAlign w:val="baseline"/>
                              <w:lang w:eastAsia="pl-PL"/>
                            </w:rPr>
                            <w:t>Kz1</w:t>
                          </w:r>
                        </w:p>
                      </w:txbxContent>
                    </v:textbox>
                    <w10:wrap type="none"/>
                  </v:rect>
                </v:group>
                <v:group id="shape_0" style="position:absolute;left:7681;top:98;width:5159;height:549">
                  <v:group id="shape_0" style="position:absolute;left:8161;top:158;width:4679;height:489">
                    <v:oval id="shape_0" path="l-2147483648,-2147483643l-2147483628,-2147483627l-2147483648,-2147483643l-2147483626,-2147483625xe" fillcolor="#ed1c24" stroked="t" o:allowincell="f" style="position:absolute;left:8161;top:495;width:151;height:151;mso-wrap-style:none;v-text-anchor:middle">
                      <v:fill o:detectmouseclick="t" type="solid" color2="#12e3db"/>
                      <v:stroke color="#3465a4" weight="9360" joinstyle="round" endcap="flat"/>
                      <w10:wrap type="none"/>
                    </v:oval>
                    <v:line id="shape_0" from="8251,158" to="12840,497" stroked="t" o:allowincell="f" style="position:absolute;flip:y">
                      <v:stroke color="#ed1c24" weight="9360" joinstyle="round" endcap="flat"/>
                      <v:fill o:detectmouseclick="t" on="false"/>
                      <w10:wrap type="none"/>
                    </v:line>
                    <v:line id="shape_0" from="8251,645" to="12840,645" stroked="t" o:allowincell="f" style="position:absolute">
                      <v:stroke color="#ed1c24" weight="9360" joinstyle="round" endcap="flat"/>
                      <v:fill o:detectmouseclick="t" on="false"/>
                      <w10:wrap type="none"/>
                    </v:line>
                  </v:group>
                  <v:rect id="shape_0" path="m0,0l-2147483645,0l-2147483645,-2147483646l0,-2147483646xe" stroked="f" o:allowincell="f" style="position:absolute;left:7681;top:98;width:935;height:530;mso-wrap-style:square;v-text-anchor:top">
                    <v:fill o:detectmouseclick="t" on="false"/>
                    <v:stroke color="#3465a4" weight="6480" joinstyle="round" endcap="flat"/>
                    <v:textbox>
                      <w:txbxContent>
                        <w:p>
                          <w:pPr>
                            <w:pStyle w:val="Normal"/>
                            <w:overflowPunct w:val="true"/>
                            <w:spacing w:lineRule="auto" w:line="240" w:before="0" w:after="0"/>
                            <w:jc w:val="left"/>
                            <w:rPr/>
                          </w:pPr>
                          <w:r>
                            <w:rPr>
                              <w:rFonts w:cs="Arial" w:ascii="Arial" w:hAnsi="Arial"/>
                              <w:b/>
                              <w:bCs/>
                              <w:i w:val="false"/>
                              <w:iCs w:val="false"/>
                              <w:caps w:val="false"/>
                              <w:smallCaps w:val="false"/>
                              <w:strike w:val="false"/>
                              <w:dstrike w:val="false"/>
                              <w:color w:val="000000"/>
                              <w:spacing w:val="0"/>
                              <w:position w:val="0"/>
                              <w:sz w:val="28"/>
                              <w:sz w:val="28"/>
                              <w:szCs w:val="28"/>
                              <w:u w:val="none"/>
                              <w:vertAlign w:val="baseline"/>
                              <w:lang w:eastAsia="pl-PL"/>
                            </w:rPr>
                            <w:t>Kz2</w:t>
                          </w:r>
                        </w:p>
                      </w:txbxContent>
                    </v:textbox>
                    <w10:wrap type="none"/>
                  </v:rect>
                </v:group>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center"/>
        <w:rPr/>
      </w:pPr>
      <w:r>
        <w:rPr/>
      </w:r>
    </w:p>
    <w:p>
      <w:pPr>
        <w:pStyle w:val="Normal"/>
        <w:rPr/>
      </w:pPr>
      <w:r>
        <w:rPr/>
      </w:r>
    </w:p>
    <w:p>
      <w:pPr>
        <w:pStyle w:val="Normal"/>
        <w:jc w:val="center"/>
        <w:rPr/>
      </w:pPr>
      <w:r>
        <w:rPr/>
      </w:r>
    </w:p>
    <w:p>
      <w:pPr>
        <w:pStyle w:val="Normal"/>
        <w:jc w:val="center"/>
        <w:rPr/>
      </w:pPr>
      <w:r>
        <w:rPr/>
      </w:r>
    </w:p>
    <w:p>
      <w:pPr>
        <w:pStyle w:val="Normal"/>
        <w:rPr/>
      </w:pPr>
      <w:r>
        <w:rPr/>
        <mc:AlternateContent>
          <mc:Choice Requires="wps">
            <w:drawing>
              <wp:anchor behindDoc="0" distT="635" distB="0" distL="635" distR="0" simplePos="0" locked="0" layoutInCell="1" allowOverlap="1" relativeHeight="2">
                <wp:simplePos x="0" y="0"/>
                <wp:positionH relativeFrom="column">
                  <wp:posOffset>-142875</wp:posOffset>
                </wp:positionH>
                <wp:positionV relativeFrom="paragraph">
                  <wp:posOffset>74295</wp:posOffset>
                </wp:positionV>
                <wp:extent cx="6242050" cy="988060"/>
                <wp:effectExtent l="635" t="635" r="0" b="0"/>
                <wp:wrapNone/>
                <wp:docPr id="7" name="Text Box 2"/>
                <a:graphic xmlns:a="http://schemas.openxmlformats.org/drawingml/2006/main">
                  <a:graphicData uri="http://schemas.microsoft.com/office/word/2010/wordprocessingShape">
                    <wps:wsp>
                      <wps:cNvSpPr/>
                      <wps:spPr>
                        <a:xfrm>
                          <a:off x="0" y="0"/>
                          <a:ext cx="6242040" cy="988200"/>
                        </a:xfrm>
                        <a:prstGeom prst="rect">
                          <a:avLst/>
                        </a:prstGeom>
                        <a:solidFill>
                          <a:srgbClr val="ffffff"/>
                        </a:solidFill>
                        <a:ln w="0">
                          <a:noFill/>
                        </a:ln>
                      </wps:spPr>
                      <wps:style>
                        <a:lnRef idx="0"/>
                        <a:fillRef idx="0"/>
                        <a:effectRef idx="0"/>
                        <a:fontRef idx="minor"/>
                      </wps:style>
                      <wps:txbx>
                        <w:txbxContent>
                          <w:p>
                            <w:pPr>
                              <w:pStyle w:val="Zawartoramki"/>
                              <w:rPr>
                                <w:sz w:val="22"/>
                              </w:rPr>
                            </w:pPr>
                            <w:r>
                              <w:rPr>
                                <w:color w:val="000000"/>
                                <w:sz w:val="22"/>
                              </w:rPr>
                              <w:t>Montaż pozostałych elementów:</w:t>
                            </w:r>
                          </w:p>
                          <w:p>
                            <w:pPr>
                              <w:pStyle w:val="Zawartoramki"/>
                              <w:numPr>
                                <w:ilvl w:val="0"/>
                                <w:numId w:val="2"/>
                              </w:numPr>
                              <w:rPr>
                                <w:color w:val="000000"/>
                              </w:rPr>
                            </w:pPr>
                            <w:r>
                              <w:rPr>
                                <w:color w:val="000000"/>
                                <w:sz w:val="22"/>
                              </w:rPr>
                              <w:t>monitor: nad stanowiskiem pracy kierowcy z lewej strony kabiny – ostateczne miejsce do ustalenia z Zamawiającym,</w:t>
                            </w:r>
                          </w:p>
                          <w:p>
                            <w:pPr>
                              <w:pStyle w:val="Zawartoramki"/>
                              <w:numPr>
                                <w:ilvl w:val="0"/>
                                <w:numId w:val="2"/>
                              </w:numPr>
                              <w:rPr>
                                <w:sz w:val="22"/>
                              </w:rPr>
                            </w:pPr>
                            <w:r>
                              <w:rPr>
                                <w:color w:val="000000"/>
                                <w:sz w:val="22"/>
                              </w:rPr>
                              <w:t>mikrofon: na stałej części kabiny, obok tablicy informacyjnej wewnętrznej,</w:t>
                            </w:r>
                          </w:p>
                          <w:p>
                            <w:pPr>
                              <w:pStyle w:val="Zawartoramki"/>
                              <w:numPr>
                                <w:ilvl w:val="0"/>
                                <w:numId w:val="2"/>
                              </w:numPr>
                              <w:rPr>
                                <w:sz w:val="22"/>
                              </w:rPr>
                            </w:pPr>
                            <w:r>
                              <w:rPr>
                                <w:color w:val="000000"/>
                                <w:sz w:val="22"/>
                              </w:rPr>
                              <w:t>rejestrator: w lewym schowku nad kierowcą, zamykanym na klucz typu „patent”.</w:t>
                            </w:r>
                          </w:p>
                        </w:txbxContent>
                      </wps:txbx>
                      <wps:bodyPr lIns="102240" rIns="102240" tIns="56520" bIns="56520" anchor="t" upright="1">
                        <a:noAutofit/>
                      </wps:bodyPr>
                    </wps:wsp>
                  </a:graphicData>
                </a:graphic>
              </wp:anchor>
            </w:drawing>
          </mc:Choice>
          <mc:Fallback>
            <w:pict>
              <v:rect id="shape_0" ID="Text Box 2" path="m0,0l-2147483645,0l-2147483645,-2147483646l0,-2147483646xe" fillcolor="white" stroked="f" o:allowincell="f" style="position:absolute;margin-left:-11.25pt;margin-top:5.85pt;width:491.45pt;height:77.75pt;mso-wrap-style:square;v-text-anchor:top">
                <v:fill o:detectmouseclick="t" type="solid" color2="black"/>
                <v:stroke color="#3465a4" joinstyle="round" endcap="flat"/>
                <v:textbox>
                  <w:txbxContent>
                    <w:p>
                      <w:pPr>
                        <w:pStyle w:val="Zawartoramki"/>
                        <w:rPr>
                          <w:sz w:val="22"/>
                        </w:rPr>
                      </w:pPr>
                      <w:r>
                        <w:rPr>
                          <w:color w:val="000000"/>
                          <w:sz w:val="22"/>
                        </w:rPr>
                        <w:t>Montaż pozostałych elementów:</w:t>
                      </w:r>
                    </w:p>
                    <w:p>
                      <w:pPr>
                        <w:pStyle w:val="Zawartoramki"/>
                        <w:numPr>
                          <w:ilvl w:val="0"/>
                          <w:numId w:val="2"/>
                        </w:numPr>
                        <w:rPr>
                          <w:color w:val="000000"/>
                        </w:rPr>
                      </w:pPr>
                      <w:r>
                        <w:rPr>
                          <w:color w:val="000000"/>
                          <w:sz w:val="22"/>
                        </w:rPr>
                        <w:t>monitor: nad stanowiskiem pracy kierowcy z lewej strony kabiny – ostateczne miejsce do ustalenia z Zamawiającym,</w:t>
                      </w:r>
                    </w:p>
                    <w:p>
                      <w:pPr>
                        <w:pStyle w:val="Zawartoramki"/>
                        <w:numPr>
                          <w:ilvl w:val="0"/>
                          <w:numId w:val="2"/>
                        </w:numPr>
                        <w:rPr>
                          <w:sz w:val="22"/>
                        </w:rPr>
                      </w:pPr>
                      <w:r>
                        <w:rPr>
                          <w:color w:val="000000"/>
                          <w:sz w:val="22"/>
                        </w:rPr>
                        <w:t>mikrofon: na stałej części kabiny, obok tablicy informacyjnej wewnętrznej,</w:t>
                      </w:r>
                    </w:p>
                    <w:p>
                      <w:pPr>
                        <w:pStyle w:val="Zawartoramki"/>
                        <w:numPr>
                          <w:ilvl w:val="0"/>
                          <w:numId w:val="2"/>
                        </w:numPr>
                        <w:rPr>
                          <w:sz w:val="22"/>
                        </w:rPr>
                      </w:pPr>
                      <w:r>
                        <w:rPr>
                          <w:color w:val="000000"/>
                          <w:sz w:val="22"/>
                        </w:rPr>
                        <w:t>rejestrator: w lewym schowku nad kierowcą, zamykanym na klucz typu „patent”.</w:t>
                      </w:r>
                    </w:p>
                  </w:txbxContent>
                </v:textbox>
                <w10:wrap type="none"/>
              </v:rect>
            </w:pict>
          </mc:Fallback>
        </mc:AlternateContent>
      </w:r>
    </w:p>
    <w:p>
      <w:pPr>
        <w:pStyle w:val="Normal"/>
        <w:tabs>
          <w:tab w:val="clear" w:pos="709"/>
          <w:tab w:val="left" w:pos="4536" w:leader="none"/>
          <w:tab w:val="left" w:pos="4820" w:leader="none"/>
        </w:tabs>
        <w:rPr>
          <w:b/>
        </w:rPr>
      </w:pPr>
      <w:r>
        <w:rPr>
          <w:b/>
        </w:rPr>
      </w:r>
    </w:p>
    <w:p>
      <w:pPr>
        <w:pStyle w:val="Normal"/>
        <w:tabs>
          <w:tab w:val="clear" w:pos="709"/>
          <w:tab w:val="left" w:pos="4536" w:leader="none"/>
          <w:tab w:val="left" w:pos="4820" w:leader="none"/>
        </w:tabs>
        <w:rPr>
          <w:b/>
        </w:rPr>
      </w:pPr>
      <w:r>
        <w:rPr>
          <w:b/>
        </w:rPr>
      </w:r>
    </w:p>
    <w:p>
      <w:pPr>
        <w:pStyle w:val="Normal"/>
        <w:tabs>
          <w:tab w:val="clear" w:pos="709"/>
          <w:tab w:val="left" w:pos="4536" w:leader="none"/>
          <w:tab w:val="left" w:pos="4820" w:leader="none"/>
        </w:tabs>
        <w:rPr>
          <w:b/>
        </w:rPr>
      </w:pPr>
      <w:r>
        <w:rPr>
          <w:b/>
        </w:rPr>
      </w:r>
    </w:p>
    <w:p>
      <w:pPr>
        <w:pStyle w:val="Normal"/>
        <w:tabs>
          <w:tab w:val="clear" w:pos="709"/>
          <w:tab w:val="left" w:pos="4536" w:leader="none"/>
          <w:tab w:val="left" w:pos="4820" w:leader="none"/>
        </w:tabs>
        <w:rPr>
          <w:b/>
        </w:rPr>
      </w:pPr>
      <w:r>
        <w:rPr>
          <w:b/>
        </w:rPr>
      </w:r>
    </w:p>
    <w:p>
      <w:pPr>
        <w:pStyle w:val="Normal"/>
        <w:tabs>
          <w:tab w:val="clear" w:pos="709"/>
          <w:tab w:val="left" w:pos="4536" w:leader="none"/>
          <w:tab w:val="left" w:pos="4820" w:leader="none"/>
        </w:tabs>
        <w:rPr>
          <w:sz w:val="22"/>
        </w:rPr>
      </w:pPr>
      <w:r>
        <w:rPr>
          <w:sz w:val="22"/>
        </w:rPr>
      </w:r>
    </w:p>
    <w:p>
      <w:pPr>
        <w:pStyle w:val="Normal"/>
        <w:tabs>
          <w:tab w:val="clear" w:pos="709"/>
          <w:tab w:val="left" w:pos="4536" w:leader="none"/>
          <w:tab w:val="left" w:pos="4820" w:leader="none"/>
        </w:tabs>
        <w:rPr>
          <w:sz w:val="22"/>
        </w:rPr>
      </w:pPr>
      <w:r>
        <w:rPr>
          <w:b/>
          <w:sz w:val="22"/>
        </w:rPr>
        <w:t>UWAGA:</w:t>
      </w:r>
      <w:r>
        <w:rPr>
          <w:sz w:val="22"/>
        </w:rPr>
        <w:t xml:space="preserve"> </w:t>
      </w:r>
      <w:r>
        <w:rPr>
          <w:b/>
          <w:sz w:val="22"/>
        </w:rPr>
        <w:t xml:space="preserve">Przed rozpoczęciem montażu powiadomić Zamawiającego celem ostatecznego ustalenia lokalizacji urządzeń    </w:t>
      </w:r>
      <w:r>
        <w:rPr>
          <w:sz w:val="16"/>
        </w:rPr>
        <w:t xml:space="preserve">    </w:t>
      </w:r>
    </w:p>
    <w:p>
      <w:pPr>
        <w:pStyle w:val="Normal"/>
        <w:tabs>
          <w:tab w:val="clear" w:pos="709"/>
          <w:tab w:val="left" w:pos="4536" w:leader="none"/>
          <w:tab w:val="left" w:pos="4820" w:leader="none"/>
        </w:tabs>
        <w:rPr>
          <w:sz w:val="18"/>
          <w:szCs w:val="18"/>
        </w:rPr>
      </w:pPr>
      <w:r>
        <w:rPr>
          <w:sz w:val="18"/>
          <w:szCs w:val="18"/>
        </w:rPr>
      </w:r>
    </w:p>
    <w:p>
      <w:pPr>
        <w:pStyle w:val="Normal"/>
        <w:tabs>
          <w:tab w:val="clear" w:pos="709"/>
          <w:tab w:val="left" w:pos="4536" w:leader="none"/>
          <w:tab w:val="left" w:pos="4820" w:leader="none"/>
        </w:tabs>
        <w:rPr>
          <w:sz w:val="18"/>
          <w:szCs w:val="18"/>
        </w:rPr>
      </w:pPr>
      <w:r>
        <w:rPr>
          <w:sz w:val="18"/>
          <w:szCs w:val="18"/>
        </w:rPr>
      </w:r>
    </w:p>
    <w:p>
      <w:pPr>
        <w:pStyle w:val="Normal"/>
        <w:tabs>
          <w:tab w:val="clear" w:pos="709"/>
          <w:tab w:val="left" w:pos="4536" w:leader="none"/>
          <w:tab w:val="left" w:pos="4820" w:leader="none"/>
        </w:tabs>
        <w:rPr>
          <w:b/>
          <w:i/>
          <w:i/>
          <w:sz w:val="20"/>
          <w:szCs w:val="20"/>
          <w:u w:val="single"/>
        </w:rPr>
      </w:pPr>
      <w:r>
        <w:rPr>
          <w:b/>
          <w:i/>
          <w:sz w:val="20"/>
          <w:szCs w:val="20"/>
          <w:u w:val="single"/>
        </w:rPr>
      </w:r>
    </w:p>
    <w:p>
      <w:pPr>
        <w:pStyle w:val="Normal"/>
        <w:tabs>
          <w:tab w:val="clear" w:pos="709"/>
          <w:tab w:val="left" w:pos="4536" w:leader="none"/>
          <w:tab w:val="left" w:pos="4820" w:leader="none"/>
        </w:tabs>
        <w:rPr>
          <w:b/>
          <w:i/>
          <w:i/>
          <w:sz w:val="20"/>
          <w:szCs w:val="20"/>
          <w:u w:val="single"/>
        </w:rPr>
      </w:pPr>
      <w:r>
        <w:rPr>
          <w:b/>
          <w:i/>
          <w:sz w:val="20"/>
          <w:szCs w:val="20"/>
          <w:u w:val="single"/>
        </w:rPr>
      </w:r>
    </w:p>
    <w:p>
      <w:pPr>
        <w:pStyle w:val="Normal"/>
        <w:tabs>
          <w:tab w:val="clear" w:pos="709"/>
          <w:tab w:val="left" w:pos="4536" w:leader="none"/>
          <w:tab w:val="left" w:pos="4820" w:leader="none"/>
        </w:tabs>
        <w:rPr>
          <w:b/>
          <w:i/>
          <w:i/>
          <w:sz w:val="20"/>
          <w:szCs w:val="20"/>
          <w:u w:val="single"/>
        </w:rPr>
      </w:pPr>
      <w:r>
        <w:rPr>
          <w:b/>
          <w:i/>
          <w:sz w:val="20"/>
          <w:szCs w:val="20"/>
          <w:u w:val="single"/>
        </w:rPr>
      </w:r>
      <w:bookmarkStart w:id="0" w:name="_GoBack"/>
      <w:bookmarkStart w:id="1" w:name="_GoBack"/>
      <w:bookmarkEnd w:id="1"/>
    </w:p>
    <w:p>
      <w:pPr>
        <w:pStyle w:val="Normal"/>
        <w:tabs>
          <w:tab w:val="clear" w:pos="709"/>
          <w:tab w:val="left" w:pos="4536" w:leader="none"/>
          <w:tab w:val="left" w:pos="4820" w:leader="none"/>
        </w:tabs>
        <w:rPr>
          <w:b/>
          <w:i/>
          <w:i/>
          <w:sz w:val="20"/>
          <w:szCs w:val="20"/>
          <w:u w:val="single"/>
        </w:rPr>
      </w:pPr>
      <w:r>
        <w:rPr>
          <w:b/>
          <w:i/>
          <w:sz w:val="20"/>
          <w:szCs w:val="20"/>
          <w:u w:val="single"/>
        </w:rPr>
      </w:r>
    </w:p>
    <w:p>
      <w:pPr>
        <w:pStyle w:val="Normal"/>
        <w:tabs>
          <w:tab w:val="clear" w:pos="709"/>
          <w:tab w:val="left" w:pos="3544" w:leader="none"/>
        </w:tabs>
        <w:jc w:val="center"/>
        <w:rPr>
          <w:sz w:val="18"/>
          <w:szCs w:val="18"/>
        </w:rPr>
      </w:pPr>
      <w:r>
        <w:rPr>
          <w:sz w:val="18"/>
          <w:szCs w:val="18"/>
        </w:rPr>
        <w:t xml:space="preserve">                                                                                                                                                                             </w:t>
      </w:r>
      <w:r>
        <w:rPr>
          <w:sz w:val="18"/>
          <w:szCs w:val="18"/>
        </w:rPr>
        <w:t>Data: . …………….......................................................................................................</w:t>
      </w:r>
    </w:p>
    <w:p>
      <w:pPr>
        <w:pStyle w:val="Normal"/>
        <w:tabs>
          <w:tab w:val="clear" w:pos="709"/>
          <w:tab w:val="left" w:pos="3544" w:leader="none"/>
        </w:tabs>
        <w:jc w:val="center"/>
        <w:rPr>
          <w:sz w:val="18"/>
          <w:szCs w:val="18"/>
        </w:rPr>
      </w:pPr>
      <w:r>
        <w:rPr>
          <w:sz w:val="18"/>
          <w:szCs w:val="18"/>
        </w:rPr>
        <w:tab/>
        <w:t xml:space="preserve">                                                                                                             Podpis osób wskazanych  w dokumencie uprawniającym                                                  </w:t>
      </w:r>
    </w:p>
    <w:p>
      <w:pPr>
        <w:pStyle w:val="Normal"/>
        <w:tabs>
          <w:tab w:val="clear" w:pos="709"/>
          <w:tab w:val="left" w:pos="3544" w:leader="none"/>
        </w:tabs>
        <w:jc w:val="center"/>
        <w:rPr>
          <w:sz w:val="20"/>
          <w:szCs w:val="20"/>
        </w:rPr>
      </w:pPr>
      <w:r>
        <w:rPr>
          <w:sz w:val="18"/>
          <w:szCs w:val="18"/>
        </w:rPr>
        <w:t xml:space="preserve">                                                                                                                                                                                       </w:t>
      </w:r>
      <w:r>
        <w:rPr>
          <w:sz w:val="18"/>
          <w:szCs w:val="18"/>
        </w:rPr>
        <w:t>do występowania w obrocie prawnym lub posiadających pełnomocnictwo.</w:t>
      </w:r>
    </w:p>
    <w:sectPr>
      <w:headerReference w:type="default" r:id="rId4"/>
      <w:footerReference w:type="default" r:id="rId5"/>
      <w:type w:val="nextPage"/>
      <w:pgSz w:orient="landscape" w:w="16838" w:h="11906"/>
      <w:pgMar w:left="1260" w:right="1418" w:gutter="0" w:header="568" w:top="998"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8"/>
        <w:szCs w:val="18"/>
      </w:rPr>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7</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widowControl w:val="false"/>
      <w:numPr>
        <w:ilvl w:val="0"/>
        <w:numId w:val="10"/>
      </w:numPr>
      <w:tabs>
        <w:tab w:val="clear" w:pos="709"/>
        <w:tab w:val="left" w:pos="4860" w:leader="none"/>
        <w:tab w:val="left" w:pos="5400" w:leader="none"/>
      </w:tabs>
      <w:suppressAutoHyphens w:val="false"/>
      <w:outlineLvl w:val="0"/>
      <w:rPr/>
    </w:pPr>
    <w:r>
      <w:rPr>
        <w:kern w:val="2"/>
      </w:rPr>
      <w:t xml:space="preserve">Nr sprawy: </w:t>
    </w:r>
    <w:r>
      <w:rPr>
        <w:b/>
        <w:kern w:val="2"/>
      </w:rPr>
      <w:t>AL.0140.05.2024</w:t>
    </w:r>
    <w:r>
      <w:rPr>
        <w:b/>
        <w:lang w:eastAsia="pl-PL"/>
      </w:rPr>
      <w:tab/>
      <w:tab/>
      <w:tab/>
      <w:tab/>
      <w:tab/>
      <w:tab/>
      <w:tab/>
      <w:tab/>
      <w:tab/>
      <w:t xml:space="preserve">                         Załącznik nr 5 do SWZ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sz w:val="20"/>
      </w:rPr>
    </w:lvl>
    <w:lvl w:ilvl="1">
      <w:start w:val="1"/>
      <w:numFmt w:val="bullet"/>
      <w:lvlText w:val=""/>
      <w:lvlJc w:val="left"/>
      <w:pPr>
        <w:tabs>
          <w:tab w:val="num" w:pos="1364"/>
        </w:tabs>
        <w:ind w:left="1364" w:hanging="284"/>
      </w:pPr>
      <w:rPr>
        <w:rFonts w:ascii="Symbol" w:hAnsi="Symbol" w:cs="Symbol" w:hint="default"/>
        <w:dstrike w:val="false"/>
        <w:strike w:val="false"/>
        <w:sz w:val="20"/>
        <w:color w:val="auto"/>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08"/>
        </w:tabs>
        <w:ind w:left="12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bering>
</file>

<file path=word/settings.xml><?xml version="1.0" encoding="utf-8"?>
<w:settings xmlns:w="http://schemas.openxmlformats.org/wordprocessingml/2006/main">
  <w:zoom w:percent="150"/>
  <w:embedSystemFonts/>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03b4"/>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rsid w:val="005b03b4"/>
    <w:pPr>
      <w:keepNext w:val="true"/>
      <w:numPr>
        <w:ilvl w:val="0"/>
        <w:numId w:val="1"/>
      </w:numPr>
      <w:spacing w:before="240" w:after="60"/>
      <w:outlineLvl w:val="0"/>
    </w:pPr>
    <w:rPr>
      <w:b/>
      <w:kern w:val="2"/>
      <w:sz w:val="28"/>
      <w:szCs w:val="20"/>
    </w:rPr>
  </w:style>
  <w:style w:type="paragraph" w:styleId="Heading2">
    <w:name w:val="Heading 2"/>
    <w:basedOn w:val="Normal"/>
    <w:next w:val="Normal"/>
    <w:qFormat/>
    <w:rsid w:val="005b03b4"/>
    <w:pPr>
      <w:keepNext w:val="true"/>
      <w:widowControl w:val="false"/>
      <w:numPr>
        <w:ilvl w:val="1"/>
        <w:numId w:val="1"/>
      </w:numPr>
      <w:outlineLvl w:val="1"/>
    </w:pPr>
    <w:rPr>
      <w:b/>
      <w:sz w:val="20"/>
      <w:szCs w:val="20"/>
    </w:rPr>
  </w:style>
  <w:style w:type="paragraph" w:styleId="Heading3">
    <w:name w:val="Heading 3"/>
    <w:basedOn w:val="Normal"/>
    <w:next w:val="Normal"/>
    <w:qFormat/>
    <w:rsid w:val="005b03b4"/>
    <w:pPr>
      <w:keepNext w:val="true"/>
      <w:numPr>
        <w:ilvl w:val="2"/>
        <w:numId w:val="1"/>
      </w:numPr>
      <w:jc w:val="center"/>
      <w:outlineLvl w:val="2"/>
    </w:pPr>
    <w:rPr>
      <w:b/>
      <w:sz w:val="20"/>
      <w:szCs w:val="20"/>
    </w:rPr>
  </w:style>
  <w:style w:type="paragraph" w:styleId="Heading4">
    <w:name w:val="Heading 4"/>
    <w:basedOn w:val="Normal"/>
    <w:next w:val="Normal"/>
    <w:qFormat/>
    <w:rsid w:val="005b03b4"/>
    <w:pPr>
      <w:keepNext w:val="true"/>
      <w:widowControl w:val="false"/>
      <w:numPr>
        <w:ilvl w:val="3"/>
        <w:numId w:val="1"/>
      </w:numPr>
      <w:jc w:val="center"/>
      <w:outlineLvl w:val="3"/>
    </w:pPr>
    <w:rPr>
      <w:i/>
      <w:iCs/>
      <w:sz w:val="20"/>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5b03b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sid w:val="005b03b4"/>
    <w:rPr>
      <w:sz w:val="20"/>
    </w:rPr>
  </w:style>
  <w:style w:type="character" w:styleId="WW8Num3z0" w:customStyle="1">
    <w:name w:val="WW8Num3z0"/>
    <w:qFormat/>
    <w:rPr>
      <w:rFonts w:ascii="Times New Roman" w:hAnsi="Times New Roman" w:cs="Times New Roman"/>
    </w:rPr>
  </w:style>
  <w:style w:type="character" w:styleId="WW8Num4z0" w:customStyle="1">
    <w:name w:val="WW8Num4z0"/>
    <w:qFormat/>
    <w:rPr>
      <w:sz w:val="20"/>
    </w:rPr>
  </w:style>
  <w:style w:type="character" w:styleId="WW8Num4z1" w:customStyle="1">
    <w:name w:val="WW8Num4z1"/>
    <w:qFormat/>
    <w:rsid w:val="005b03b4"/>
    <w:rPr>
      <w:rFonts w:ascii="Symbol" w:hAnsi="Symbol" w:cs="Symbol"/>
      <w:color w:val="auto"/>
      <w:sz w:val="20"/>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z w:val="20"/>
    </w:rPr>
  </w:style>
  <w:style w:type="character" w:styleId="WW8Num6z0" w:customStyle="1">
    <w:name w:val="WW8Num6z0"/>
    <w:qFormat/>
    <w:rPr/>
  </w:style>
  <w:style w:type="character" w:styleId="Domylnaczcionkaakapitu2" w:customStyle="1">
    <w:name w:val="Domyślna czcionka akapitu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1" w:customStyle="1">
    <w:name w:val="WW8Num5z1"/>
    <w:qFormat/>
    <w:rsid w:val="005b03b4"/>
    <w:rPr>
      <w:rFonts w:ascii="Courier New" w:hAnsi="Courier New" w:cs="Courier New"/>
    </w:rPr>
  </w:style>
  <w:style w:type="character" w:styleId="WW8Num5z2" w:customStyle="1">
    <w:name w:val="WW8Num5z2"/>
    <w:qFormat/>
    <w:rsid w:val="005b03b4"/>
    <w:rPr>
      <w:rFonts w:ascii="Wingdings" w:hAnsi="Wingdings" w:cs="Wingdings"/>
    </w:rPr>
  </w:style>
  <w:style w:type="character" w:styleId="WW8Num5z3" w:customStyle="1">
    <w:name w:val="WW8Num5z3"/>
    <w:qFormat/>
    <w:rsid w:val="005b03b4"/>
    <w:rPr>
      <w:rFonts w:ascii="Symbol" w:hAnsi="Symbol" w:cs="Symbol"/>
    </w:rPr>
  </w:style>
  <w:style w:type="character" w:styleId="WW8Num6z1" w:customStyle="1">
    <w:name w:val="WW8Num6z1"/>
    <w:qFormat/>
    <w:rsid w:val="005b03b4"/>
    <w:rPr>
      <w:rFonts w:ascii="Symbol" w:hAnsi="Symbol" w:cs="Symbol"/>
      <w:color w:val="auto"/>
      <w:sz w:val="20"/>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z w:val="20"/>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Domylnaczcionkaakapitu1" w:customStyle="1">
    <w:name w:val="Domyślna czcionka akapitu1"/>
    <w:qFormat/>
    <w:rPr/>
  </w:style>
  <w:style w:type="character" w:styleId="Odwoaniedokomentarza1" w:customStyle="1">
    <w:name w:val="Odwołanie do komentarza1"/>
    <w:qFormat/>
    <w:rPr>
      <w:sz w:val="16"/>
      <w:szCs w:val="16"/>
    </w:rPr>
  </w:style>
  <w:style w:type="character" w:styleId="WW8Num5z4" w:customStyle="1">
    <w:name w:val="WW8Num5z4"/>
    <w:qFormat/>
    <w:rsid w:val="005b03b4"/>
    <w:rPr/>
  </w:style>
  <w:style w:type="character" w:styleId="WW8Num5z5" w:customStyle="1">
    <w:name w:val="WW8Num5z5"/>
    <w:qFormat/>
    <w:rsid w:val="005b03b4"/>
    <w:rPr/>
  </w:style>
  <w:style w:type="character" w:styleId="WW8Num5z6" w:customStyle="1">
    <w:name w:val="WW8Num5z6"/>
    <w:qFormat/>
    <w:rsid w:val="005b03b4"/>
    <w:rPr/>
  </w:style>
  <w:style w:type="character" w:styleId="WW8Num5z7" w:customStyle="1">
    <w:name w:val="WW8Num5z7"/>
    <w:qFormat/>
    <w:rsid w:val="005b03b4"/>
    <w:rPr/>
  </w:style>
  <w:style w:type="character" w:styleId="WW8Num5z8" w:customStyle="1">
    <w:name w:val="WW8Num5z8"/>
    <w:qFormat/>
    <w:rsid w:val="005b03b4"/>
    <w:rPr/>
  </w:style>
  <w:style w:type="character" w:styleId="Domylnaczcionkaakapitu4" w:customStyle="1">
    <w:name w:val="Domyślna czcionka akapitu4"/>
    <w:qFormat/>
    <w:rsid w:val="005b03b4"/>
    <w:rPr/>
  </w:style>
  <w:style w:type="character" w:styleId="Domylnaczcionkaakapitu3" w:customStyle="1">
    <w:name w:val="Domyślna czcionka akapitu3"/>
    <w:qFormat/>
    <w:rsid w:val="005b03b4"/>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rPr>
      <w:rFonts w:ascii="Arial" w:hAnsi="Arial" w:cs="Arial"/>
      <w:color w:val="000000"/>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rsid w:val="005b03b4"/>
    <w:pPr>
      <w:suppressLineNumbers/>
      <w:tabs>
        <w:tab w:val="clear" w:pos="709"/>
        <w:tab w:val="center" w:pos="4819" w:leader="none"/>
        <w:tab w:val="right" w:pos="9638" w:leader="none"/>
      </w:tabs>
    </w:pPr>
    <w:rPr/>
  </w:style>
  <w:style w:type="paragraph" w:styleId="Header">
    <w:name w:val="Header"/>
    <w:basedOn w:val="Normal"/>
    <w:next w:val="BodyText"/>
    <w:rsid w:val="005b03b4"/>
    <w:pPr>
      <w:tabs>
        <w:tab w:val="clear" w:pos="709"/>
        <w:tab w:val="center" w:pos="4536" w:leader="none"/>
        <w:tab w:val="right" w:pos="9072" w:leader="none"/>
      </w:tabs>
    </w:pPr>
    <w:rPr/>
  </w:style>
  <w:style w:type="paragraph" w:styleId="Caption1">
    <w:name w:val="caption1"/>
    <w:basedOn w:val="Normal"/>
    <w:qFormat/>
    <w:pPr>
      <w:suppressLineNumbers/>
      <w:spacing w:before="120" w:after="120"/>
    </w:pPr>
    <w:rPr>
      <w:rFonts w:cs="Mangal"/>
      <w:i/>
      <w:iCs/>
    </w:rPr>
  </w:style>
  <w:style w:type="paragraph" w:styleId="Caption11" w:customStyle="1">
    <w:name w:val="caption11"/>
    <w:basedOn w:val="Normal"/>
    <w:qFormat/>
    <w:rsid w:val="005b03b4"/>
    <w:pPr>
      <w:suppressLineNumbers/>
      <w:spacing w:before="120" w:after="120"/>
    </w:pPr>
    <w:rPr>
      <w:rFonts w:cs="Mangal"/>
      <w:i/>
      <w:iCs/>
    </w:rPr>
  </w:style>
  <w:style w:type="paragraph" w:styleId="Nagwek2" w:customStyle="1">
    <w:name w:val="Nagłówek2"/>
    <w:basedOn w:val="Normal"/>
    <w:next w:val="BodyText"/>
    <w:qFormat/>
    <w:pPr>
      <w:keepNext w:val="true"/>
      <w:spacing w:before="240" w:after="120"/>
    </w:pPr>
    <w:rPr>
      <w:rFonts w:ascii="Liberation Sans" w:hAnsi="Liberation Sans" w:eastAsia="Microsoft YaHei" w:cs="Mangal"/>
      <w:sz w:val="28"/>
      <w:szCs w:val="28"/>
    </w:rPr>
  </w:style>
  <w:style w:type="paragraph" w:styleId="Nagwek1" w:customStyle="1">
    <w:name w:val="Nagłówek1"/>
    <w:basedOn w:val="Normal"/>
    <w:next w:val="BodyText"/>
    <w:qFormat/>
    <w:pPr>
      <w:keepNext w:val="true"/>
      <w:spacing w:before="240" w:after="120"/>
    </w:pPr>
    <w:rPr>
      <w:rFonts w:ascii="Liberation Sans" w:hAnsi="Liberation Sans" w:eastAsia="Microsoft YaHei" w:cs="Mangal"/>
      <w:sz w:val="28"/>
      <w:szCs w:val="28"/>
    </w:rPr>
  </w:style>
  <w:style w:type="paragraph" w:styleId="Legenda1" w:customStyle="1">
    <w:name w:val="Legenda1"/>
    <w:basedOn w:val="Normal"/>
    <w:qFormat/>
    <w:rsid w:val="005b03b4"/>
    <w:pPr>
      <w:suppressLineNumbers/>
      <w:spacing w:before="120" w:after="120"/>
    </w:pPr>
    <w:rPr>
      <w:rFonts w:cs="Mangal"/>
      <w:i/>
      <w:iCs/>
    </w:rPr>
  </w:style>
  <w:style w:type="paragraph" w:styleId="Tekstpodstawowy21" w:customStyle="1">
    <w:name w:val="Tekst podstawowy 21"/>
    <w:basedOn w:val="Normal"/>
    <w:qFormat/>
    <w:pPr>
      <w:widowControl w:val="false"/>
    </w:pPr>
    <w:rPr>
      <w:color w:val="FF0000"/>
      <w:sz w:val="20"/>
    </w:rPr>
  </w:style>
  <w:style w:type="paragraph" w:styleId="Tekstpodstawowy31" w:customStyle="1">
    <w:name w:val="Tekst podstawowy 31"/>
    <w:basedOn w:val="Normal"/>
    <w:qFormat/>
    <w:pPr>
      <w:widowControl w:val="false"/>
      <w:jc w:val="both"/>
    </w:pPr>
    <w:rPr>
      <w:sz w:val="20"/>
      <w:szCs w:val="20"/>
    </w:rPr>
  </w:style>
  <w:style w:type="paragraph" w:styleId="BodyTextIndent">
    <w:name w:val="Body Text Indent"/>
    <w:basedOn w:val="Normal"/>
    <w:rsid w:val="005b03b4"/>
    <w:pPr>
      <w:spacing w:lineRule="auto" w:line="360"/>
      <w:ind w:hanging="360" w:left="720"/>
      <w:jc w:val="both"/>
    </w:pPr>
    <w:rPr/>
  </w:style>
  <w:style w:type="paragraph" w:styleId="Tekstpodstawowywcity21" w:customStyle="1">
    <w:name w:val="Tekst podstawowy wcięty 21"/>
    <w:basedOn w:val="Normal"/>
    <w:qFormat/>
    <w:rsid w:val="005b03b4"/>
    <w:pPr>
      <w:ind w:hanging="150" w:left="150"/>
      <w:jc w:val="both"/>
    </w:pPr>
    <w:rPr>
      <w:sz w:val="20"/>
    </w:rPr>
  </w:style>
  <w:style w:type="paragraph" w:styleId="Tekstpodstawowywcity31" w:customStyle="1">
    <w:name w:val="Tekst podstawowy wcięty 31"/>
    <w:basedOn w:val="Normal"/>
    <w:qFormat/>
    <w:rsid w:val="005b03b4"/>
    <w:pPr>
      <w:spacing w:lineRule="auto" w:line="360"/>
      <w:ind w:hanging="0" w:left="1080"/>
      <w:jc w:val="both"/>
    </w:pPr>
    <w:rPr/>
  </w:style>
  <w:style w:type="paragraph" w:styleId="Tekstkomentarza1" w:customStyle="1">
    <w:name w:val="Tekst komentarza1"/>
    <w:basedOn w:val="Normal"/>
    <w:qFormat/>
    <w:pPr/>
    <w:rPr>
      <w:sz w:val="20"/>
      <w:szCs w:val="20"/>
    </w:rPr>
  </w:style>
  <w:style w:type="paragraph" w:styleId="Footer">
    <w:name w:val="Footer"/>
    <w:basedOn w:val="Normal"/>
    <w:pPr>
      <w:tabs>
        <w:tab w:val="clear" w:pos="709"/>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Annotationsubject">
    <w:name w:val="annotation subject"/>
    <w:basedOn w:val="Tekstkomentarza1"/>
    <w:next w:val="Tekstkomentarza1"/>
    <w:qFormat/>
    <w:pPr/>
    <w:rPr>
      <w:b/>
      <w:bCs/>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rsid w:val="005b03b4"/>
    <w:pPr>
      <w:jc w:val="center"/>
    </w:pPr>
    <w:rPr>
      <w:b/>
      <w:bCs/>
    </w:rPr>
  </w:style>
  <w:style w:type="paragraph" w:styleId="Zawartoramki" w:customStyle="1">
    <w:name w:val="Zawartość ramki"/>
    <w:basedOn w:val="Normal"/>
    <w:qFormat/>
    <w:pPr/>
    <w:rPr/>
  </w:style>
  <w:style w:type="paragraph" w:styleId="Nagwek4" w:customStyle="1">
    <w:name w:val="Nagłówek4"/>
    <w:basedOn w:val="Normal"/>
    <w:next w:val="BodyText"/>
    <w:qFormat/>
    <w:rsid w:val="005b03b4"/>
    <w:pPr>
      <w:keepNext w:val="true"/>
      <w:spacing w:before="240" w:after="120"/>
    </w:pPr>
    <w:rPr>
      <w:rFonts w:ascii="Liberation Sans" w:hAnsi="Liberation Sans" w:eastAsia="Arial Unicode MS" w:cs="Mangal"/>
      <w:sz w:val="28"/>
      <w:szCs w:val="28"/>
    </w:rPr>
  </w:style>
  <w:style w:type="paragraph" w:styleId="Nagwek3" w:customStyle="1">
    <w:name w:val="Nagłówek3"/>
    <w:basedOn w:val="Normal"/>
    <w:next w:val="BodyText"/>
    <w:qFormat/>
    <w:rsid w:val="005b03b4"/>
    <w:pPr>
      <w:keepNext w:val="true"/>
      <w:spacing w:before="240" w:after="120"/>
    </w:pPr>
    <w:rPr>
      <w:rFonts w:ascii="Liberation Sans" w:hAnsi="Liberation Sans" w:eastAsia="Microsoft YaHei" w:cs="Arial"/>
      <w:sz w:val="28"/>
      <w:szCs w:val="28"/>
    </w:rPr>
  </w:style>
  <w:style w:type="paragraph" w:styleId="Legenda3" w:customStyle="1">
    <w:name w:val="Legenda3"/>
    <w:basedOn w:val="Normal"/>
    <w:qFormat/>
    <w:rsid w:val="005b03b4"/>
    <w:pPr>
      <w:suppressLineNumbers/>
      <w:spacing w:before="120" w:after="120"/>
    </w:pPr>
    <w:rPr>
      <w:rFonts w:cs="Arial"/>
      <w:i/>
      <w:iCs/>
    </w:rPr>
  </w:style>
  <w:style w:type="paragraph" w:styleId="Legenda2" w:customStyle="1">
    <w:name w:val="Legenda2"/>
    <w:basedOn w:val="Normal"/>
    <w:qFormat/>
    <w:rsid w:val="005b03b4"/>
    <w:pPr>
      <w:suppressLineNumbers/>
      <w:spacing w:before="120" w:after="120"/>
    </w:pPr>
    <w:rPr>
      <w:rFonts w:cs="Mangal"/>
      <w:i/>
      <w:iCs/>
    </w:rPr>
  </w:style>
  <w:style w:type="paragraph" w:styleId="Revision">
    <w:name w:val="Revision"/>
    <w:uiPriority w:val="99"/>
    <w:semiHidden/>
    <w:qFormat/>
    <w:rsid w:val="005b03b4"/>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ListParagraph">
    <w:name w:val="List Paragraph"/>
    <w:basedOn w:val="Normal"/>
    <w:uiPriority w:val="34"/>
    <w:qFormat/>
    <w:rsid w:val="00427d97"/>
    <w:pPr>
      <w:spacing w:before="0" w:after="0"/>
      <w:ind w:hanging="0"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LibreOffice/7.6.5.2$Windows_X86_64 LibreOffice_project/38d5f62f85355c192ef5f1dd47c5c0c0c6d6598b</Application>
  <AppVersion>15.0000</AppVersion>
  <Pages>7</Pages>
  <Words>1721</Words>
  <Characters>11277</Characters>
  <CharactersWithSpaces>13460</CharactersWithSpaces>
  <Paragraphs>127</Paragraphs>
  <Company>MPK Poznań Sp.z 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2022-09-16T10:13:00Z</dcterms:created>
  <dc:creator>Dział Informatyki</dc:creator>
  <dc:description/>
  <dc:language>pl-PL</dc:language>
  <cp:lastModifiedBy>Maciej Szczepański</cp:lastModifiedBy>
  <cp:lastPrinted>2018-03-05T13:29:00Z</cp:lastPrinted>
  <dcterms:modified xsi:type="dcterms:W3CDTF">2024-03-21T11:43:33Z</dcterms:modified>
  <cp:revision>35</cp:revision>
  <dc:subject/>
  <dc:title>AL/259/2015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